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12" w:rsidRDefault="00C85812">
      <w:pPr>
        <w:rPr>
          <w:lang w:val="el-GR"/>
        </w:rPr>
      </w:pPr>
      <w:bookmarkStart w:id="0" w:name="_GoBack"/>
      <w:bookmarkEnd w:id="0"/>
    </w:p>
    <w:p w:rsidR="00C85812" w:rsidRPr="00C85812" w:rsidRDefault="00C85812">
      <w:pPr>
        <w:rPr>
          <w:b/>
          <w:sz w:val="24"/>
          <w:u w:val="single"/>
          <w:lang w:val="el-GR"/>
        </w:rPr>
      </w:pPr>
      <w:r w:rsidRPr="00C85812">
        <w:rPr>
          <w:b/>
          <w:sz w:val="24"/>
          <w:u w:val="single"/>
          <w:lang w:val="el-GR"/>
        </w:rPr>
        <w:t>ΦΥΛΛΟ ΣΥΜΜΟΡΦΩΣΗΣ</w:t>
      </w:r>
    </w:p>
    <w:p w:rsidR="004F69FC" w:rsidRDefault="004F69FC"/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83"/>
        <w:gridCol w:w="3543"/>
        <w:gridCol w:w="850"/>
        <w:gridCol w:w="850"/>
        <w:gridCol w:w="1418"/>
      </w:tblGrid>
      <w:tr w:rsidR="00C85812" w:rsidRPr="00275249" w:rsidTr="00C85812">
        <w:trPr>
          <w:trHeight w:val="960"/>
        </w:trPr>
        <w:tc>
          <w:tcPr>
            <w:tcW w:w="307" w:type="pct"/>
            <w:shd w:val="clear" w:color="CCFFFF" w:fill="DBEEF4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01" w:type="pct"/>
            <w:shd w:val="clear" w:color="CCFFFF" w:fill="DBEEF4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ΠΕΡΙΓΡΑΦΗ</w:t>
            </w:r>
          </w:p>
        </w:tc>
        <w:tc>
          <w:tcPr>
            <w:tcW w:w="2017" w:type="pct"/>
            <w:shd w:val="clear" w:color="CCFFFF" w:fill="DBEEF4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ΠΡΟΔΙΑΓΡΑΦΕΣ</w:t>
            </w:r>
          </w:p>
        </w:tc>
        <w:tc>
          <w:tcPr>
            <w:tcW w:w="484" w:type="pct"/>
            <w:shd w:val="clear" w:color="CCFFFF" w:fill="DBEEF4"/>
          </w:tcPr>
          <w:p w:rsidR="004F69FC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  <w:p w:rsidR="004F69FC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484" w:type="pct"/>
            <w:shd w:val="clear" w:color="CCFFFF" w:fill="DBEEF4"/>
          </w:tcPr>
          <w:p w:rsidR="004F69FC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  <w:p w:rsidR="004F69FC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807" w:type="pct"/>
            <w:shd w:val="clear" w:color="CCFFFF" w:fill="DBEEF4"/>
          </w:tcPr>
          <w:p w:rsidR="004F69FC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  <w:p w:rsidR="004F69FC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ΠΑΡΑΠΟΜΠΗ</w:t>
            </w:r>
          </w:p>
        </w:tc>
      </w:tr>
      <w:tr w:rsidR="00C85812" w:rsidRPr="00C85812" w:rsidTr="00C85812">
        <w:trPr>
          <w:trHeight w:val="558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ΚΛΕΙΣΤΟΣ ΠΙΝΑΚΑΣ Β/1: Τα αντιδραστήρια θα πρέπει να είναι συμβατά με τον υπάρχοντα αναλυτή/</w:t>
            </w:r>
            <w:proofErr w:type="spellStart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sequencer</w:t>
            </w:r>
            <w:proofErr w:type="spellEnd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Illumina</w:t>
            </w:r>
            <w:proofErr w:type="spellEnd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NextSeq</w:t>
            </w:r>
            <w:proofErr w:type="spellEnd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2000  τον οποίο διαθέτει το ΕΙΠ 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C85812" w:rsidTr="00C85812">
        <w:trPr>
          <w:trHeight w:val="4125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1.1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n-US" w:eastAsia="el-GR"/>
              </w:rPr>
              <w:t>ILLUMINA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TruSeq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Strnd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Total RNA LP Gold (48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Spl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)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Πλήρες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προετοιμασίας</w:t>
            </w:r>
            <w:r w:rsidRPr="00275249">
              <w:rPr>
                <w:color w:val="FF0000"/>
                <w:sz w:val="18"/>
                <w:szCs w:val="18"/>
                <w:lang w:val="el-GR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βιβλιοθηκών για την ανάλυση ολόκληρου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μεταγραφώματος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(RNA-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Seq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) με εφαρμογή</w:t>
            </w:r>
            <w:r w:rsidRPr="00275249">
              <w:rPr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sz w:val="18"/>
                <w:szCs w:val="18"/>
                <w:lang w:val="el-GR" w:eastAsia="el-GR"/>
              </w:rPr>
              <w:t>αλληλούχισης</w:t>
            </w:r>
            <w:proofErr w:type="spellEnd"/>
            <w:r w:rsidRPr="00275249">
              <w:rPr>
                <w:sz w:val="18"/>
                <w:szCs w:val="18"/>
                <w:lang w:val="el-GR" w:eastAsia="el-GR"/>
              </w:rPr>
              <w:t xml:space="preserve"> νέας γενιάς (NGS)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για μια ποικιλία ειδών και τύπων δειγμάτων, συμπεριλαμβανομένων ιστών (ανθρώπων, ποντικών,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αρουαίων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), φρέσκων και εμπεδωμένο σε παραφίνη (FFPE). Το αρχικό υλικό να είναι 0.1 – 1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μg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υψηλής καθαρότητας ολικό RNA.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To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επιτρέπει την ανάλυση RNA που κωδικοποιεί </w:t>
            </w:r>
            <w:r w:rsidRPr="00275249">
              <w:rPr>
                <w:sz w:val="18"/>
                <w:szCs w:val="18"/>
                <w:lang w:val="el-GR" w:eastAsia="el-GR"/>
              </w:rPr>
              <w:t>για</w:t>
            </w:r>
            <w:r w:rsidRPr="00275249">
              <w:rPr>
                <w:color w:val="FF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πρωτεϊνες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αλλά και πολλαπλών μορφών RNA που δεν κωδικοποιούν</w:t>
            </w:r>
            <w:r w:rsidRPr="00275249">
              <w:rPr>
                <w:color w:val="FF0000"/>
                <w:sz w:val="18"/>
                <w:szCs w:val="18"/>
                <w:lang w:val="el-GR" w:eastAsia="el-GR"/>
              </w:rPr>
              <w:t xml:space="preserve"> </w:t>
            </w:r>
            <w:r w:rsidRPr="00275249">
              <w:rPr>
                <w:sz w:val="18"/>
                <w:szCs w:val="18"/>
                <w:lang w:val="el-GR" w:eastAsia="el-GR"/>
              </w:rPr>
              <w:t>για</w:t>
            </w:r>
            <w:r w:rsidRPr="00275249">
              <w:rPr>
                <w:color w:val="FF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πρωτεϊνες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με ακριβή μέτρηση του </w:t>
            </w:r>
            <w:r w:rsidRPr="00275249">
              <w:rPr>
                <w:sz w:val="18"/>
                <w:szCs w:val="18"/>
                <w:lang w:val="el-GR" w:eastAsia="el-GR"/>
              </w:rPr>
              <w:t>προσανατολισμού κλώνου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ομοιόμορφη κάλυψη και ανίχνευση εναλλακτικών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μεταγράφων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, προσδιορισμό γονιδιακών αναδιατάξεων (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gene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fusions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) και προσδιορισμό ειδικής έκφρασης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αλληλόμορφων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δύναται να απομακρύνει τόσο 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κυτταροπλασματικό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όσο και 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μιτοχονδριακό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rRNA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 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είναι επίσης συμβατό με τα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διπλών μοναδικών μοριακών ετικετών (UD)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index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IDT for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Illumina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-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TruSeq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RNA UD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Indexes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, τα οποία επιτρέπουν την πολυπλεξία έως και 96 δειγμάτων. H συνολική διαδικασία δημιουργίας βιβλιοθηκών να ολοκληρώνεται σε 11,5 ώρες, ενώ η ενασχόληση του χειριστή (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hands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on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time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) να μην  υπερβαίνει τις 6 ώρες.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275249" w:rsidTr="00C85812">
        <w:trPr>
          <w:trHeight w:val="334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1.2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n-US" w:eastAsia="el-GR"/>
              </w:rPr>
              <w:t>Illumina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TruSeq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® Small RNA SMP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PrepKit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v2 (24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rxns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)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  <w:t xml:space="preserve">Kitted reagents for library preparation of 24 small RNA samples for multiplexed sequencing.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Each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kit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contains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lastRenderedPageBreak/>
              <w:t>indexes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1-12 of 48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unique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indexes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.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lastRenderedPageBreak/>
              <w:t xml:space="preserve">Πλήρες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δημιουργίας βιβλιοθηκών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miRNA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μικρών RNA απευθείας από ολικό RNA, για οποιοδήποτε είδος, για εφαρμογή NGS σε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αλληλουχητή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του οίκου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Illumina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Τα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MicroRNA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(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miRNAs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) που παράγονται κατόπιν επεξεργασίας από το ένζυμο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Dicer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στοχεύονται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αποτελεσματικά από τους συμπεριλαμβανόμενους τροποποιημένους προσαρμογείς. 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επιτρέπει την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πολυπλεκτική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με την εισαγωγή έως 48 μοναδικών μοριακών ετικετών (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indexes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), οι οποίες να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lastRenderedPageBreak/>
              <w:t xml:space="preserve">περιλαμβάνονται στο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των αντιδραστηρίων. Η διαδικασία προετοιμασίας βιβλιοθηκών να ολοκληρώνεται εντός μίας ημέρας, ενώ ο χρόνος ενασχόλησης χρήστη (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hands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-on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time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) να μην ξεπερνά τις 4 ώρες.  Να παρέχει επαρκή αντιδραστήρια για 24 δείγματα.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C85812" w:rsidTr="00C85812">
        <w:trPr>
          <w:trHeight w:val="3108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lastRenderedPageBreak/>
              <w:t>1.3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n-US" w:eastAsia="el-GR"/>
              </w:rPr>
              <w:t>ILLUMINA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NextSeq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1000/2000 P2 XLEAP-SBS Reagents (100 Cycles)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Πλήρες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που να περιλαμβάνει όλα τα απαραίτητα αντιδραστήρια για την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κλωνική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ενίσχυση και την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βιβλιοθήκης στο σύστημα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NextSeq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2000 του οίκου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illumina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, καθώς και την κυψελίδα ροής. Τα αντιδραστήρια να είναι έτοιμα προ-αναμεμειγμένα και τοποθετημένα σε ειδική κασέτα μίας χρήσης (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cartridge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), επιτρέποντας την ευκολότερη διαδικασία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Να επαρκούν για τουλάχιστον 100 κύκλους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Να φέρει σύστημα ταυτοποίησης με ραδιοσυχνότητα (RFID). Να έχει την δυνατότητα να παράγει τουλάχιστον 400 εκατομμύρια διαβάσματα μονής κατεύθυνσης ή 800 εκατομμύρια διαβάσματα διπλής κατεύθυνσης. Να πραγματοποιείται εντός της κυψελίδας ροής του συστήματος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NextSeq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2000 η διαδικασία του πολλαπλασιασμού των τμημάτων DNA προς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, χωρίς να γίνεται καμία παρέμβαση από το χρήστη. Η προσφερόμενη κυψελίδα ροής να έχει προκατασκευασμένες οπές (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patterned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flowcell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), όπου συμβαίνει η ενίσχυση και η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μέσω της χημείας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Xleap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-SBS που βασίζεται στην αποδεδειγμένη χημεία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μέσω σύνθεσης (SBS). 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C85812" w:rsidTr="00C85812">
        <w:trPr>
          <w:trHeight w:val="2029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1.4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n-US" w:eastAsia="el-GR"/>
              </w:rPr>
              <w:t>ILLUMINA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NextSeq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1000/2000 P1 XLEAP-SBS Reagents (100 Cycles)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Πλήρες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που να περιλαμβάνει όλα τα απαραίτητα αντιδραστήρια για την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κλωνική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ενίσχυση και την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βιβλιοθήκης στο σύστημα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NextSeq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2000 του οίκου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illumina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, καθώς και την κυψελίδα ροής. Τα αντιδραστήρια να είναι έτοιμα προ-αναμεμειγμένα και τοποθετημένα σε ειδική κασέτα μίας χρήσης (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cartridge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), επιτρέποντας την ευκολότερη διαδικασία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Να επαρκούν για τουλάχιστον 100 κύκλους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Να φέρει σύστημα ταυτοποίησης με ραδιοσυχνότητα (RFID). Να έχει την δυνατότητα να παράγει τουλάχιστον 100 εκατομμύρια διαβάσματα μονής κατεύθυνσης ή 200 εκατομμύρια διαβάσματα διπλής κατεύθυνσης. Να πραγματοποιείται εντός της κυψελίδας ροής του συστήματος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NextSeq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2000 η διαδικασία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lastRenderedPageBreak/>
              <w:t xml:space="preserve">του πολλαπλασιασμού των τμημάτων DNA προς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, χωρίς να γίνεται καμία παρέμβαση από το χρήστη. Η προσφερόμενη κυψελίδα ροής να έχει προκατασκευασμένες οπές (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patterned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flowcell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), όπου συμβαίνει η ενίσχυση και η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μέσω της χημείας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Xleap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-SBS που βασίζεται στην αποδεδειγμένη χημεία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αλληλούχησης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μέσω σύνθεσης (SBS). 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4F69FC" w:rsidRPr="00C85812" w:rsidTr="00C85812">
        <w:trPr>
          <w:trHeight w:val="198"/>
        </w:trPr>
        <w:tc>
          <w:tcPr>
            <w:tcW w:w="3225" w:type="pct"/>
            <w:gridSpan w:val="3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lastRenderedPageBreak/>
              <w:t> 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275249" w:rsidTr="00C85812">
        <w:trPr>
          <w:trHeight w:val="450"/>
        </w:trPr>
        <w:tc>
          <w:tcPr>
            <w:tcW w:w="307" w:type="pct"/>
            <w:shd w:val="clear" w:color="CCFFFF" w:fill="DBEEF4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01" w:type="pct"/>
            <w:shd w:val="clear" w:color="CCFFFF" w:fill="DBEEF4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ΠΕΡΙΓΡΑΦΗ</w:t>
            </w:r>
          </w:p>
        </w:tc>
        <w:tc>
          <w:tcPr>
            <w:tcW w:w="2017" w:type="pct"/>
            <w:shd w:val="clear" w:color="CCFFFF" w:fill="DBEEF4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ΠΡΟΔΙΑΓΡΑΦΕΣ</w:t>
            </w:r>
          </w:p>
        </w:tc>
        <w:tc>
          <w:tcPr>
            <w:tcW w:w="484" w:type="pct"/>
            <w:shd w:val="clear" w:color="CCFFFF" w:fill="DBEEF4"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484" w:type="pct"/>
            <w:shd w:val="clear" w:color="CCFFFF" w:fill="DBEEF4"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807" w:type="pct"/>
            <w:shd w:val="clear" w:color="CCFFFF" w:fill="DBEEF4"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ΠΑΡΑΠΟΜΠΗ</w:t>
            </w:r>
          </w:p>
        </w:tc>
      </w:tr>
      <w:tr w:rsidR="00C85812" w:rsidRPr="00C85812" w:rsidTr="00C85812">
        <w:trPr>
          <w:trHeight w:val="527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ΚΛΕΙΣΤΟΣ ΠΙΝΑΚΑΣ Β/2: Τα αντιδραστήρια θα πρέπει να είναι συμβατά με τον υπάρχοντα αναλυτή/</w:t>
            </w:r>
            <w:proofErr w:type="spellStart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sequencer</w:t>
            </w:r>
            <w:proofErr w:type="spellEnd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Torrent</w:t>
            </w:r>
            <w:proofErr w:type="spellEnd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S5 </w:t>
            </w:r>
            <w:proofErr w:type="spellStart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system</w:t>
            </w:r>
            <w:proofErr w:type="spellEnd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 τον οποίο διαθέτει το ΕΙΠ 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275249" w:rsidTr="00C85812">
        <w:trPr>
          <w:trHeight w:val="1185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2.1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n-US" w:eastAsia="el-GR"/>
              </w:rPr>
              <w:t>Ion 510™ &amp; Ion 520™ &amp; Ion 530™ Kit – Chef (1 sequencing run per initialization)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510 &amp;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520 &amp;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530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Kit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–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Chef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(1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sequencing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run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per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initialization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)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br/>
              <w:t xml:space="preserve">Να περιέχει τα αντιδραστήρια και τα υλικά που απαιτούνται για την εκτέλεση των ακόλουθων βημάτων στη ροή εργασίας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αλληλούχισης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επόμενης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γενιας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: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br/>
              <w:t xml:space="preserve">Προετοιμασία εμπλουτισμένων,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template-positive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Sphere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Particles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φορτωμα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σε ένα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510/520/530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Chip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χρησιμοποιώντας 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συστημα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Chef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για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αλληλούχιση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σε πλατφόρμες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GeneStudio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S5. Η προετοιμασία να απαιτεί ελάχιστο χρόνο απασχόλησης του χρήστη, λιγότερο από 15 λεπτά.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br/>
              <w:t xml:space="preserve">Κάθε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περιέχει όλα τα υλικά που απαιτούνται για το φόρτωμα και την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αλληλούχιση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8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chips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 να είναι συμβατό για χρήση με βιβλιοθήκες μέχρι 400 βάσεων.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br/>
              <w:t>Συσκευασία 8 αντιδράσεις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275249" w:rsidTr="00C85812">
        <w:trPr>
          <w:trHeight w:val="885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2.2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520™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Chip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Kit</w:t>
            </w:r>
            <w:proofErr w:type="spellEnd"/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520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Chip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Kit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br/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Chip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κατάλληλα για χρήση με τα συστήματα της σειράς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S5.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br/>
              <w:t xml:space="preserve">Μπορούν να δημιουργήσουν 3-6M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reads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ανά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chip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διαβάζοντας αλληλουχίες έως και 600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bp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Συσκευασία 8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chips</w:t>
            </w:r>
            <w:proofErr w:type="spellEnd"/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275249" w:rsidTr="00C85812">
        <w:trPr>
          <w:trHeight w:val="1410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2.3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n-US" w:eastAsia="el-GR"/>
              </w:rPr>
              <w:t>Ion Xpress™ Plus Fragment Library Kit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Kit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για την προετοιμασία υψηλής ποιότητας βιβλιοθηκών DNA για προσδιορισμό αλληλουχίας στο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PGM. 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Kit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παράγει υψηλής ποιότητας βιβλιοθήκες DNA. 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επιτρέπει την ολοκλήρωση της προετοιμασίας της βιβλιοθήκης σε μόλις 2 ώρες για τις βιβλιοθήκες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gDNA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amplicon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όταν συνδυάζεται είτε με φυσικές μεθόδους διάτμησης είτε με την τεχνολογία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ενζυματικού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κατακερματισμού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Shear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Οι βιβλιοθήκες υψηλής ποιότητας να μπορούν να επιτευχθούν με μόλις 100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ng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DNA εισόδου. 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βιβλιοθήκης θραύσματος να περιέχει αντιδραστήρια προετοιμασίας δειγμάτων για κατασκευή βιβλιοθήκης έως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lastRenderedPageBreak/>
              <w:t xml:space="preserve">και 20 βιβλιοθηκών DNA (ανάλογα με τον τύπο και την ποσότητα του εισερχόμενου DNA) για την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αλληλούχιση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με τεχνολογία ημιαγωγών. Να προσφέρεται σε συσκευασία 10 αντιδράσεων.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275249" w:rsidTr="00C85812">
        <w:trPr>
          <w:trHeight w:val="3015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lastRenderedPageBreak/>
              <w:t>2.4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16S™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Metagenomics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Kit</w:t>
            </w:r>
            <w:proofErr w:type="spellEnd"/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kit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πραγματοποιεί γρήγορες, περιεκτικές και ευρείας κλίμακας αναλύσεις μικτών μικροβιακών πληθυσμών με τεχνολογία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Next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generation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sequencing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επιτρέπει την PCR ενίσχυση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υπερμεταβλητών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περιοχών του γονιδίου 16S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rDNA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από βακτήρια. 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περιλαμβάνει 2 σύνολα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εκκινητών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που μπορούν να χρησιμοποιηθούν για την ενίσχυση των αντίστοιχων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υπερμεταβλητών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περιοχών του γονιδίου 16S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rDNA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σε βακτήρια: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br/>
              <w:t xml:space="preserve">• Σετ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εκκινητων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V2-4-8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br/>
              <w:t xml:space="preserve">• Σετ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εκκινητών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V3-6,7-9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br/>
              <w:t xml:space="preserve">Αυτά τα ολοκληρωμένα σύνολα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εκκινητών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επιτρέπουν την ακριβή ανίχνευση και ταυτοποίηση ενός ευρέος φάσματος βακτηρίων μέχρι το επίπεδο γένους ή είδους.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br/>
              <w:t>Να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περιλαμβάνει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: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  <w:t>• DNA dilution buffer (7 mL)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  <w:t>• 2 tubes 2X environmental master mix (0.8 mL per tube)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  <w:t>• E. coli DNA control (40 µL)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  <w:t>• Negative control water (1 mL)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  <w:t>• 16S primer set V2-4-8 (300 µL)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  <w:t>• 16S primer set V3-6,7-9 (300 µL)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C85812" w:rsidRPr="00275249" w:rsidTr="00C85812">
        <w:trPr>
          <w:trHeight w:val="1479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2.5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n-US" w:eastAsia="el-GR"/>
              </w:rPr>
              <w:t>Ion Universal Library Quantitation Kit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n-US" w:eastAsia="el-GR"/>
              </w:rPr>
              <w:t>Ion Universal Library Quantitation Kit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Το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περιλαμβάνει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: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  <w:t xml:space="preserve">• 2 tubes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TaqMan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Fast Universal Master Mix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  <w:t>• Assay mix (250 µL)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  <w:t>• 2 tubes E. coli DH10B control library (25 µL per tube)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br/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Συσκευασία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250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αντιδράσεις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C85812" w:rsidRPr="00C85812" w:rsidTr="00C85812">
        <w:trPr>
          <w:trHeight w:val="977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2.6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Ion Library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TaqMan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™ Quantitation Kit (Ion Torrent)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Μίγμα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TaqMan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qPCR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ένα πρότυπο βιβλιοθήκης για την ανίχνευση και τον ποσοτικό προσδιορισμό των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Femtomolar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ποσοτήτων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fragment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βιβλιοθηκών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br/>
              <w:t>Συσκευασία 250 αντιδράσεις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4F69FC" w:rsidRPr="00C85812" w:rsidTr="00C85812">
        <w:trPr>
          <w:trHeight w:val="140"/>
        </w:trPr>
        <w:tc>
          <w:tcPr>
            <w:tcW w:w="3225" w:type="pct"/>
            <w:gridSpan w:val="3"/>
            <w:shd w:val="clear" w:color="auto" w:fill="auto"/>
            <w:vAlign w:val="bottom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275249" w:rsidTr="00C85812">
        <w:trPr>
          <w:trHeight w:val="255"/>
        </w:trPr>
        <w:tc>
          <w:tcPr>
            <w:tcW w:w="307" w:type="pct"/>
            <w:shd w:val="clear" w:color="CCFFFF" w:fill="DBEEF4"/>
            <w:noWrap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01" w:type="pct"/>
            <w:shd w:val="clear" w:color="CCFFFF" w:fill="DBEEF4"/>
            <w:noWrap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ΠΕΡΙΓΡΑΦΗ</w:t>
            </w:r>
          </w:p>
        </w:tc>
        <w:tc>
          <w:tcPr>
            <w:tcW w:w="2017" w:type="pct"/>
            <w:shd w:val="clear" w:color="CCFFFF" w:fill="DBEEF4"/>
            <w:noWrap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ΠΡΟΔΙΑΓΡΑΦΕΣ</w:t>
            </w:r>
          </w:p>
        </w:tc>
        <w:tc>
          <w:tcPr>
            <w:tcW w:w="484" w:type="pct"/>
            <w:shd w:val="clear" w:color="CCFFFF" w:fill="DBEEF4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484" w:type="pct"/>
            <w:shd w:val="clear" w:color="CCFFFF" w:fill="DBEEF4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ΟΧΙ</w:t>
            </w:r>
          </w:p>
        </w:tc>
        <w:tc>
          <w:tcPr>
            <w:tcW w:w="807" w:type="pct"/>
            <w:shd w:val="clear" w:color="CCFFFF" w:fill="DBEEF4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ΠΑΡΑΠΟΜΠΗ</w:t>
            </w:r>
          </w:p>
        </w:tc>
      </w:tr>
      <w:tr w:rsidR="00C85812" w:rsidRPr="00C85812" w:rsidTr="00C85812">
        <w:trPr>
          <w:trHeight w:val="644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ΚΛΕΙΣΤΟΣ ΠΙΝΑΚΑΣ Β/3: Αντιδραστήρια για απομόνωση DNA και RNA. Τα αντιδραστήρια θα πρέπει να είναι συμβατά με τον υπάρχοντα εξοπλισμό </w:t>
            </w:r>
            <w:proofErr w:type="spellStart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MagCore</w:t>
            </w:r>
            <w:proofErr w:type="spellEnd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Plus</w:t>
            </w:r>
            <w:proofErr w:type="spellEnd"/>
            <w:r w:rsidRPr="00275249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τον οποίο διαθέτει το ΕΙΠ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C85812" w:rsidTr="00C85812">
        <w:trPr>
          <w:trHeight w:val="1275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lastRenderedPageBreak/>
              <w:t>3.1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MagCore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Gut Microbiome DNA Kit 72 preps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"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για απομόνωση μικροβιακού και γονιδιακού DNA από δείγματα κοπράνων και εντέρου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μπορεί να χρησιμοποιηθεί για την απομόνωση DNA από δύσκολα στη λύση 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Γραμ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-θετικά και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Γραμ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-αρνητικά  βακτήρια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Ο χρόνος που απαιτείται για την εκτέλεση του πρωτοκόλλου να είναι μόλις 20 λεπτά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Ο όγκος δείγματος να είναι 200±20mg.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είναι υψηλής ευαισθησίας.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είναι κατάλληλο για χρήση στο αυτόματο μηχάνημα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MagCore</w:t>
            </w:r>
            <w:proofErr w:type="spellEnd"/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χρησιμοποιεί τεχνολογία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magnetic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beads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Το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περιέχει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τα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εξής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: Pre-filled Cartridges, Proteinase K, PK Storage Buffer, Disposable Tip &amp; Holder Sets, Sample Tubes, Elution Tubes.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Όλα τα πλαστικά αναλώσιμα να είναι ελεύθερα από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Dnase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RNAse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Όλα τα απαραίτητα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buffers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μαγνητικά σφαιρίδια και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Proteinase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K να περιέχονται σε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προγεμισμένες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κασέτες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Nα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διατίθεται σε συσκευασία των 72 απομονώσεων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 φέρει σήμανση CE/IVD"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C85812" w:rsidTr="00C85812">
        <w:trPr>
          <w:trHeight w:val="470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3.2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MagCore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Genomic DNA Tissue Kit 96 preps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"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για απομόνωση ολικού DNA (συμπεριλαμβανομένου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γενομικού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μιτοχονδριακού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ιικού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DNA) από ιστούς, ιστούς μονιμοποιημένους σε παραφίνη,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στυλεούς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κόπρανα, πλάσμα, ορό,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στυλεούς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, ούρα, εγκεφαλονωτιαίο υγρό και σωματικά υγρά.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Ο όγκος δείγματος να είναι μεταξύ 200 και 400μl.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είναι υψηλής ευαισθησίας.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είναι κατάλληλο για χρήση στο αυτόματο μηχάνημα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MagCore</w:t>
            </w:r>
            <w:proofErr w:type="spellEnd"/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χρησιμοποιεί τεχνολογία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magnetic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beads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Το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περιέχει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τα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εξής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: Pre-filled Cartridges, Proteinase K, PK Storage Buffer, Disposable Tip &amp; Holder Sets, Sample Tubes, Elution Tubes.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Όλα τα πλαστικά αναλώσιμα να είναι ελεύθερα από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Dnase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RNAse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Όλα τα απαραίτητα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buffers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μαγνητικά σφαιρίδια και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Proteinase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K να περιέχονται σε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προγεμισμένες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κασέτες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Nα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διατίθεται σε συσκευασία των 96 απομονώσεων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 φέρει σήμανση CE/IVD"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C85812" w:rsidTr="00C85812">
        <w:trPr>
          <w:trHeight w:val="1690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lastRenderedPageBreak/>
              <w:t>3.3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MagCore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miRNA Plasma Extraction Kit 72 preps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"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για απομόνωση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miRNA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από έως και 400μl ορού ή πλάσματος.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είναι κατάλληλο για χρήση στο αυτόματο μηχάνημα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MagCore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χρησιμοποιεί τεχνολογία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magnetic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beads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Όλα τα απαραίτητα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buffers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τα μαγνητικά σφαιρίδια να περιέχονται σε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προγεμισμένες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κασέτες.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 παρέχεται υψηλής καθαρότητας RNA κατάλληλο για όλες τις συνήθεις εφαρμογές.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Nα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διατίθεται σε συσκευασία των 72 απομονώσεων."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C85812" w:rsidTr="00C85812">
        <w:trPr>
          <w:trHeight w:val="1785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3.4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MagCore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Bacterial DNA Kit (Gram +/-) 96 preps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"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για απομόνωση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γενωμικού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DNA από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gram-positive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gram-negative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βακτήρια (έως 2x109 κύτταρα σε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βακτηριακές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καλλιέργειες)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Ο όγκος δείγματος να είναι μεταξύ 200 και 400μl.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Το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να είναι υψηλής ευαισθησίας.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χρησιμοποιεί τεχνολογία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magnetic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beads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Το απομονωμένο DNA να μπορεί να χρησιμοποιηθεί για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qPCR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Restriction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enzyme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digestion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southern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blotting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Το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περιέχει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τα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εξής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: pre-filled cartridges, lysozyme reaction buffer, proteinase K, PK storage buffer, RNase A, disposable tip &amp; holder sets, sample tubes, elution tubes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Όλα τα απαραίτητα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buffers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μαγνητικά σφαιρίδια και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Proteinase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K να περιέχονται σε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προγεμισμένες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κασέτες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Nα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διατίθεται σε συσκευασία των 96 απομονώσεων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 φέρει σήμανση CE/IVD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είναι κατάλληλο για χρήση στο αυτόματο μηχάνημα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MagCore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"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C85812" w:rsidTr="00C85812">
        <w:trPr>
          <w:trHeight w:val="901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3.5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MagCore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triXact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RNA kit (Whole blood, Cells, and Tissue) 72 preps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"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για απομόνωση ολικού RNA από 5 x106 κύτταρα σε καλλιέργειες ανθρώπινο ολικό αίμα και διάφορους ζωικούς ιστούς.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είναι κατάλληλο για χρήση στο αυτόματο μηχάνημα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MagCore</w:t>
            </w:r>
            <w:proofErr w:type="spellEnd"/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χρησιμοποιεί τεχνολογία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magnetic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beads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Το πρόγραμμα να παρέχει προαιρετική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επεξαργασία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με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DNase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I για την απομάκρυνση του υπολειμματικού DNA.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Το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περιέχει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τα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εξής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: Pre-filled Cartridges, RBC lysis buffer, RB buffer, Pipette Tip &amp; Holder Sets, Sample Tubes, Elution Tubes, Filter Column  Set.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lastRenderedPageBreak/>
              <w:t>Το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απομονωμένο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RNA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μπορεί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χρησιμοποιηθεί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σε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RT-PCR, cDNA synthesis, Real-Time RT-PCR, Northern blotting, microarray target preparation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και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NGS.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n-US" w:eastAsia="el-GR"/>
              </w:rPr>
            </w:pP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Η διαδικασία να ολοκληρώνεται σε λιγότερο από 45 λεπτά (χωρίς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DNAse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I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treatment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) και σε λιγότερο από 75 λεπτά (με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DNAse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I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treatment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)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Nα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διατίθεται σε συσκευασία των 72 απομονώσεων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Να φέρει σήμανση CE/IVD"</w:t>
            </w: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85812" w:rsidRPr="00C85812" w:rsidTr="00C85812">
        <w:trPr>
          <w:trHeight w:val="1136"/>
        </w:trPr>
        <w:tc>
          <w:tcPr>
            <w:tcW w:w="307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lastRenderedPageBreak/>
              <w:t>3.6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MagCore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Genomic DNA Large Volume Whole Blood Kit (1200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μ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l) 96 preps   (CE/IVD) -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κωδ</w:t>
            </w:r>
            <w:proofErr w:type="spellEnd"/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ΕΟΦ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 xml:space="preserve"> 2830000986756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Κιτ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για απομόνωση ολικού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DNA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(συμπεριλαμβανομένου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γενομικού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μιτοχονδριακού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ιικού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DNA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) από έως και 1200μ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l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αρχικό δείγμα αίματος, ορού, πλάσματος  και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buffy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coat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είναι κατάλληλο για χρήση στο αυτόματο μηχάνημα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n-US" w:eastAsia="el-GR"/>
              </w:rPr>
              <w:t>MagCore</w:t>
            </w:r>
            <w:proofErr w:type="spellEnd"/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είναι κατάλληλο για απομόνωση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DNA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από αίμα που έχει επεξεργαστεί με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sodium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citrate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EDTA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lithium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heparin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,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sodium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fluoride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χρησιμοποιεί τεχνολογία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magnetic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beads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.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Όλα τα απαραίτητα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buffers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και μαγνητικά σφαιρίδια να περιέχονται σε </w:t>
            </w:r>
            <w:proofErr w:type="spellStart"/>
            <w:r w:rsidRPr="00275249">
              <w:rPr>
                <w:color w:val="000000"/>
                <w:sz w:val="18"/>
                <w:szCs w:val="18"/>
                <w:lang w:val="el-GR" w:eastAsia="el-GR"/>
              </w:rPr>
              <w:t>προγεμισμένες</w:t>
            </w:r>
            <w:proofErr w:type="spellEnd"/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 κασέτες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Να παρέχεται υψηλής καθαρότητας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DNA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:  </w:t>
            </w:r>
            <w:r w:rsidRPr="00275249">
              <w:rPr>
                <w:color w:val="000000"/>
                <w:sz w:val="18"/>
                <w:szCs w:val="18"/>
                <w:lang w:val="en-US" w:eastAsia="el-GR"/>
              </w:rPr>
              <w:t>A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 xml:space="preserve">260/280 &gt; 1.85 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Η διαδικασία να ολοκληρώνεται σε λιγότερο από 75 λεπτά.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  <w:r w:rsidRPr="00275249">
              <w:rPr>
                <w:color w:val="000000"/>
                <w:sz w:val="18"/>
                <w:szCs w:val="18"/>
                <w:lang w:val="en-US" w:eastAsia="el-GR"/>
              </w:rPr>
              <w:t>N</w:t>
            </w:r>
            <w:r w:rsidRPr="00275249">
              <w:rPr>
                <w:color w:val="000000"/>
                <w:sz w:val="18"/>
                <w:szCs w:val="18"/>
                <w:lang w:val="el-GR" w:eastAsia="el-GR"/>
              </w:rPr>
              <w:t>α διατίθεται σε συσκευασία των 96 απομονώσεων</w:t>
            </w:r>
          </w:p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84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807" w:type="pct"/>
          </w:tcPr>
          <w:p w:rsidR="004F69FC" w:rsidRPr="00275249" w:rsidRDefault="004F69FC" w:rsidP="00560EF1">
            <w:pPr>
              <w:suppressAutoHyphens w:val="0"/>
              <w:spacing w:after="0"/>
              <w:jc w:val="left"/>
              <w:rPr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4F69FC" w:rsidRDefault="004F69FC">
      <w:pPr>
        <w:rPr>
          <w:lang w:val="el-GR"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10"/>
        <w:gridCol w:w="3544"/>
        <w:gridCol w:w="850"/>
        <w:gridCol w:w="850"/>
        <w:gridCol w:w="1418"/>
      </w:tblGrid>
      <w:tr w:rsidR="00C85812" w:rsidRPr="004F69FC" w:rsidTr="00942813">
        <w:trPr>
          <w:trHeight w:val="960"/>
        </w:trPr>
        <w:tc>
          <w:tcPr>
            <w:tcW w:w="291" w:type="pct"/>
            <w:shd w:val="clear" w:color="CCFFFF" w:fill="DBEEF4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Α/Α</w:t>
            </w:r>
          </w:p>
        </w:tc>
        <w:tc>
          <w:tcPr>
            <w:tcW w:w="916" w:type="pct"/>
            <w:shd w:val="clear" w:color="CCFFFF" w:fill="DBEEF4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ΠΕΡΙΓΡΑΦΗ</w:t>
            </w:r>
          </w:p>
        </w:tc>
        <w:tc>
          <w:tcPr>
            <w:tcW w:w="2017" w:type="pct"/>
            <w:shd w:val="clear" w:color="CCFFFF" w:fill="DBEEF4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ΠΡΟΔΙΑΓΡΑΦΕΣ</w:t>
            </w:r>
          </w:p>
        </w:tc>
        <w:tc>
          <w:tcPr>
            <w:tcW w:w="484" w:type="pct"/>
            <w:shd w:val="clear" w:color="CCFFFF" w:fill="DBEEF4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</w:pPr>
            <w:r w:rsidRPr="004F69FC"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  <w:t>ΝΑΙ</w:t>
            </w:r>
          </w:p>
        </w:tc>
        <w:tc>
          <w:tcPr>
            <w:tcW w:w="484" w:type="pct"/>
            <w:shd w:val="clear" w:color="CCFFFF" w:fill="DBEEF4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</w:pPr>
            <w:r w:rsidRPr="004F69FC"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  <w:t>ΟΧΙ</w:t>
            </w:r>
          </w:p>
        </w:tc>
        <w:tc>
          <w:tcPr>
            <w:tcW w:w="807" w:type="pct"/>
            <w:shd w:val="clear" w:color="CCFFFF" w:fill="DBEEF4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</w:pPr>
            <w:r w:rsidRPr="004F69FC">
              <w:rPr>
                <w:b/>
                <w:bCs/>
                <w:color w:val="000000"/>
                <w:sz w:val="18"/>
                <w:szCs w:val="18"/>
                <w:lang w:val="el-GR" w:eastAsia="en-US"/>
              </w:rPr>
              <w:t>ΠΑΡΑΠΟΜΠΗ</w:t>
            </w:r>
          </w:p>
        </w:tc>
      </w:tr>
      <w:tr w:rsidR="00942813" w:rsidRPr="004F69FC" w:rsidTr="00942813">
        <w:trPr>
          <w:trHeight w:val="517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ΠΙΝΑΚΑΣ A/4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367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916" w:type="pct"/>
            <w:shd w:val="clear" w:color="000000" w:fill="FFFFFF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sz w:val="18"/>
                <w:szCs w:val="18"/>
                <w:lang w:val="en-US" w:eastAsia="en-US"/>
              </w:rPr>
            </w:pPr>
            <w:r w:rsidRPr="004F69FC">
              <w:rPr>
                <w:sz w:val="18"/>
                <w:szCs w:val="18"/>
                <w:lang w:val="en-US" w:eastAsia="en-US"/>
              </w:rPr>
              <w:t>2,2'-Bi-4-picoline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97%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16" w:type="pct"/>
            <w:shd w:val="clear" w:color="000000" w:fill="FFFFFF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sz w:val="18"/>
                <w:szCs w:val="18"/>
                <w:lang w:val="en-US" w:eastAsia="en-US"/>
              </w:rPr>
            </w:pPr>
            <w:r w:rsidRPr="004F69FC">
              <w:rPr>
                <w:sz w:val="18"/>
                <w:szCs w:val="18"/>
                <w:lang w:val="en-US" w:eastAsia="en-US"/>
              </w:rPr>
              <w:t xml:space="preserve">DMSO-d6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99,8%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Sulfuric acid-d2 in D2O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96 - 98 %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Nickel iodide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99%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4,7-Diphenyl-1,10-phenanthroline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95%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9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Ammonium 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Hexafluorophosphate</w:t>
            </w:r>
            <w:proofErr w:type="spellEnd"/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95%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Methanol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HPLC grade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Methyl 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Mercaptan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Sodium Salt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ca. 15% in Water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Potassium 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tert-Butoxide</w:t>
            </w:r>
            <w:proofErr w:type="spellEnd"/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97%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Iodoethane</w:t>
            </w:r>
            <w:proofErr w:type="spellEnd"/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stabilized with Copper chip; 99%  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1-Methylpyrrolidine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98%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Phosphate-buffered saline (PBS)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10X, pH 7.4 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1,1-Diphenyl-2-picrylhydrazyl Free Radical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&gt;97.0% (HPLC)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3-Bromo-N,N-dimethylaniline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96%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3-(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Diethylamino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)phenol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97%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300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Sodium bisulfite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density: 1.304 g/cm</w:t>
            </w:r>
            <w:r w:rsidRPr="004F69FC">
              <w:rPr>
                <w:color w:val="000000"/>
                <w:sz w:val="18"/>
                <w:szCs w:val="18"/>
                <w:vertAlign w:val="superscript"/>
                <w:lang w:val="en-US" w:eastAsia="en-US"/>
              </w:rPr>
              <w:t>3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Methacroylcholine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chloride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ca. 80% in water; stabilized with MEHQ; 95% 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1,2-Difluorobenzene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98%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Chlorotrimethylsilane</w:t>
            </w:r>
            <w:proofErr w:type="spellEnd"/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α &gt;98%  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Microbial Transglutaminase 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lyophilized powder, 12 units/mg protein 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Penicillin-Streptomycin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penicillin: 10000 units/mL; streptomycin 10 mg/mL; sterile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38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L-Lysine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97%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Potassium 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hexafluorophosphate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99%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454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Copper (I) iodide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98%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5-Bromo-1,10-phenanthroline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95%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2-Chloromethyl-pyridine hydrochloride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97%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Methyldiphenylphosphine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oxide 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95%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5-Aminopentan-1-ol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90%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393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Succinic acid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99%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412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Coumarin</w:t>
            </w:r>
            <w:proofErr w:type="spellEnd"/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&gt;99%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419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34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Deuterium oxide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99,9%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Metaphosphoric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acid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39-43%, bal. NaPO3 (Stabilizer)  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2-Methyltetrahydrofuran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stabilised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with BHT; 99%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486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Tetradecanoic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acid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95%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4-Hydroxymethyl-[1,3]dioxolan-2-one 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90%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527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EDC hydrochloride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99%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402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Xylene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mixture of isomers, ACS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43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Hyaluronic Acid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97%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1-Propanol, 3-amino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98%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416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Lithium chloride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99%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Trifluoromethanesulfonic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acid  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98%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510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Poly(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diallyldimethylammonium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chloride) solution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average Mw 200,000-350,000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510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17a-Ethynylestradiol 3-cyclopentyl 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ether,Quinestrol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99%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2,5-Dimethylphenol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98%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beta-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Butyrolactone</w:t>
            </w:r>
            <w:proofErr w:type="spellEnd"/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98%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Dichloromethane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reagent grade, ACS 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255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7-(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Iodomethyl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)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pentadecane</w:t>
            </w:r>
            <w:proofErr w:type="spellEnd"/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Καθα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ρότητ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α 99%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574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Nylon syringe filter</w:t>
            </w:r>
          </w:p>
        </w:tc>
        <w:tc>
          <w:tcPr>
            <w:tcW w:w="2017" w:type="pct"/>
            <w:shd w:val="clear" w:color="auto" w:fill="auto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0,22 µm D.25 mm 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510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Round bottom flask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50 ml, ST 24/29, outer Ø: 51 mm,  height: 100 mm, clear glass, made of borosilicate glass 3.3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510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Test tubes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12 x 100 mm, DIN-thread GL 14,  with screw cap and silicone-/PTFE-seal,   made from DURAN tubing 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42813" w:rsidRPr="004F69FC" w:rsidTr="00942813">
        <w:trPr>
          <w:trHeight w:val="510"/>
        </w:trPr>
        <w:tc>
          <w:tcPr>
            <w:tcW w:w="291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>UV-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quarz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Semi-Micro standard rectangular cells </w:t>
            </w:r>
          </w:p>
        </w:tc>
        <w:tc>
          <w:tcPr>
            <w:tcW w:w="2017" w:type="pct"/>
            <w:shd w:val="clear" w:color="auto" w:fill="auto"/>
            <w:vAlign w:val="center"/>
            <w:hideMark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1,4 ml, 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paht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length: 10 mm </w:t>
            </w:r>
            <w:proofErr w:type="spellStart"/>
            <w:r w:rsidRPr="004F69FC">
              <w:rPr>
                <w:color w:val="000000"/>
                <w:sz w:val="18"/>
                <w:szCs w:val="18"/>
                <w:lang w:val="en-US" w:eastAsia="en-US"/>
              </w:rPr>
              <w:t>ith</w:t>
            </w:r>
            <w:proofErr w:type="spellEnd"/>
            <w:r w:rsidRPr="004F69FC">
              <w:rPr>
                <w:color w:val="000000"/>
                <w:sz w:val="18"/>
                <w:szCs w:val="18"/>
                <w:lang w:val="en-US" w:eastAsia="en-US"/>
              </w:rPr>
              <w:t xml:space="preserve"> 2 polished windows</w:t>
            </w: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84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07" w:type="pct"/>
          </w:tcPr>
          <w:p w:rsidR="004F69FC" w:rsidRPr="004F69FC" w:rsidRDefault="004F69FC" w:rsidP="004F69FC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:rsidR="004F69FC" w:rsidRPr="004F69FC" w:rsidRDefault="004F69FC">
      <w:pPr>
        <w:rPr>
          <w:lang w:val="en-US"/>
        </w:rPr>
      </w:pPr>
    </w:p>
    <w:sectPr w:rsidR="004F69FC" w:rsidRPr="004F69F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7B" w:rsidRDefault="0068047B" w:rsidP="00C85812">
      <w:pPr>
        <w:spacing w:after="0"/>
      </w:pPr>
      <w:r>
        <w:separator/>
      </w:r>
    </w:p>
  </w:endnote>
  <w:endnote w:type="continuationSeparator" w:id="0">
    <w:p w:rsidR="0068047B" w:rsidRDefault="0068047B" w:rsidP="00C858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7B" w:rsidRDefault="0068047B" w:rsidP="00C85812">
      <w:pPr>
        <w:spacing w:after="0"/>
      </w:pPr>
      <w:r>
        <w:separator/>
      </w:r>
    </w:p>
  </w:footnote>
  <w:footnote w:type="continuationSeparator" w:id="0">
    <w:p w:rsidR="0068047B" w:rsidRDefault="0068047B" w:rsidP="00C858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12" w:rsidRDefault="00C85812">
    <w:pPr>
      <w:pStyle w:val="Header"/>
    </w:pPr>
  </w:p>
  <w:p w:rsidR="00C85812" w:rsidRDefault="00C85812">
    <w:pPr>
      <w:pStyle w:val="Header"/>
    </w:pPr>
    <w:r>
      <w:rPr>
        <w:noProof/>
        <w:lang w:val="el-GR" w:eastAsia="el-GR"/>
      </w:rPr>
      <w:drawing>
        <wp:inline distT="0" distB="0" distL="0" distR="0" wp14:anchorId="4201A165">
          <wp:extent cx="466725" cy="4476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5812" w:rsidRPr="00C85812" w:rsidRDefault="00C85812" w:rsidP="00C85812">
    <w:pPr>
      <w:pStyle w:val="Header"/>
      <w:rPr>
        <w:b/>
        <w:bCs/>
        <w:lang w:val="el-GR"/>
      </w:rPr>
    </w:pPr>
    <w:r w:rsidRPr="00C85812">
      <w:rPr>
        <w:b/>
        <w:bCs/>
        <w:lang w:val="el-GR"/>
      </w:rPr>
      <w:t>ΕΛΛΗΝΙΚΗ ΔΗΜΟΚΡΑΤΙΑ</w:t>
    </w:r>
  </w:p>
  <w:p w:rsidR="00C85812" w:rsidRPr="00C85812" w:rsidRDefault="00C85812" w:rsidP="00C85812">
    <w:pPr>
      <w:pStyle w:val="Header"/>
      <w:rPr>
        <w:b/>
        <w:bCs/>
        <w:lang w:val="el-GR"/>
      </w:rPr>
    </w:pPr>
    <w:r w:rsidRPr="00C85812">
      <w:rPr>
        <w:b/>
        <w:bCs/>
        <w:lang w:val="el-GR"/>
      </w:rPr>
      <w:t>ΥΠΟΥΡΓΕΙΟ ΑΝΑΠΤΥΞΗΣ</w:t>
    </w:r>
  </w:p>
  <w:p w:rsidR="00C85812" w:rsidRDefault="00C85812" w:rsidP="00C85812">
    <w:pPr>
      <w:pStyle w:val="Header"/>
      <w:rPr>
        <w:b/>
        <w:bCs/>
        <w:lang w:val="el-GR"/>
      </w:rPr>
    </w:pPr>
    <w:r w:rsidRPr="00C85812">
      <w:rPr>
        <w:b/>
        <w:bCs/>
        <w:lang w:val="el-GR"/>
      </w:rPr>
      <w:t>ΓΕΝΙΚΗ ΓΡΑΜΜΑΤΕΙΑ ΕΡΕΥΝΑΣ &amp; ΚΑΙΝΟΤΟΜΙΑΣ</w:t>
    </w:r>
  </w:p>
  <w:p w:rsidR="00C85812" w:rsidRPr="00C85812" w:rsidRDefault="00C85812" w:rsidP="00C85812">
    <w:pPr>
      <w:pStyle w:val="Header"/>
      <w:rPr>
        <w:b/>
        <w:bCs/>
        <w:lang w:val="el-GR"/>
      </w:rPr>
    </w:pPr>
    <w:r>
      <w:rPr>
        <w:b/>
        <w:bCs/>
        <w:noProof/>
        <w:lang w:val="el-GR" w:eastAsia="el-GR"/>
      </w:rPr>
      <w:drawing>
        <wp:inline distT="0" distB="0" distL="0" distR="0" wp14:anchorId="7FAC5503">
          <wp:extent cx="2476500" cy="38100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5812" w:rsidRPr="00C85812" w:rsidRDefault="00C85812" w:rsidP="00C85812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FC"/>
    <w:rsid w:val="001942D3"/>
    <w:rsid w:val="00204EC6"/>
    <w:rsid w:val="004F69FC"/>
    <w:rsid w:val="0068047B"/>
    <w:rsid w:val="007B4CBE"/>
    <w:rsid w:val="00942813"/>
    <w:rsid w:val="00C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60DA22-31E8-466A-A35B-40EED868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9F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autoRedefine/>
    <w:rsid w:val="007B4CBE"/>
    <w:pPr>
      <w:spacing w:after="0"/>
      <w:ind w:left="1540"/>
    </w:pPr>
    <w:rPr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8581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812"/>
    <w:rPr>
      <w:rFonts w:ascii="Calibri" w:eastAsia="Times New Roman" w:hAnsi="Calibri" w:cs="Calibri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C8581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812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2432</Words>
  <Characters>13135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Μαρία Αποστολάκη</cp:lastModifiedBy>
  <cp:revision>2</cp:revision>
  <dcterms:created xsi:type="dcterms:W3CDTF">2025-05-22T07:49:00Z</dcterms:created>
  <dcterms:modified xsi:type="dcterms:W3CDTF">2025-05-22T07:49:00Z</dcterms:modified>
</cp:coreProperties>
</file>