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0F6" w:rsidRDefault="002000F6">
      <w:bookmarkStart w:id="0" w:name="_GoBack"/>
      <w:bookmarkEnd w:id="0"/>
    </w:p>
    <w:p w:rsidR="002000F6" w:rsidRDefault="002000F6"/>
    <w:p w:rsidR="00204EC6" w:rsidRPr="002000F6" w:rsidRDefault="002000F6">
      <w:pPr>
        <w:rPr>
          <w:b/>
          <w:sz w:val="28"/>
          <w:szCs w:val="28"/>
          <w:u w:val="single"/>
        </w:rPr>
      </w:pPr>
      <w:r w:rsidRPr="002000F6">
        <w:rPr>
          <w:b/>
          <w:sz w:val="28"/>
          <w:szCs w:val="28"/>
          <w:u w:val="single"/>
        </w:rPr>
        <w:t>ΦΥΛΛΟ ΣΥΜΜΟΡΦΩΣΗΣ</w:t>
      </w:r>
    </w:p>
    <w:p w:rsidR="002000F6" w:rsidRPr="002000F6" w:rsidRDefault="002000F6">
      <w:pPr>
        <w:rPr>
          <w:b/>
          <w:sz w:val="28"/>
          <w:szCs w:val="28"/>
          <w:u w:val="single"/>
        </w:rPr>
      </w:pPr>
    </w:p>
    <w:p w:rsidR="002000F6" w:rsidRDefault="002000F6"/>
    <w:tbl>
      <w:tblPr>
        <w:tblStyle w:val="TableGrid"/>
        <w:tblW w:w="0" w:type="auto"/>
        <w:tblLook w:val="04A0" w:firstRow="1" w:lastRow="0" w:firstColumn="1" w:lastColumn="0" w:noHBand="0" w:noVBand="1"/>
      </w:tblPr>
      <w:tblGrid>
        <w:gridCol w:w="4461"/>
        <w:gridCol w:w="1599"/>
        <w:gridCol w:w="2236"/>
      </w:tblGrid>
      <w:tr w:rsidR="002000F6" w:rsidRPr="00683063" w:rsidTr="002000F6">
        <w:trPr>
          <w:trHeight w:val="764"/>
        </w:trPr>
        <w:tc>
          <w:tcPr>
            <w:tcW w:w="4461" w:type="dxa"/>
          </w:tcPr>
          <w:p w:rsidR="002000F6" w:rsidRPr="00683063" w:rsidRDefault="002000F6" w:rsidP="00191735">
            <w:pPr>
              <w:spacing w:after="108" w:line="360" w:lineRule="auto"/>
              <w:ind w:right="709"/>
              <w:jc w:val="both"/>
              <w:rPr>
                <w:b/>
                <w:bCs/>
                <w:color w:val="000000"/>
                <w:sz w:val="24"/>
                <w:szCs w:val="24"/>
              </w:rPr>
            </w:pPr>
            <w:r w:rsidRPr="00683063">
              <w:rPr>
                <w:b/>
                <w:bCs/>
                <w:color w:val="000000"/>
                <w:sz w:val="24"/>
                <w:szCs w:val="24"/>
              </w:rPr>
              <w:t>Α. Εξειδικευμένες Οικονομικές - Λογιστικές υπηρεσίες</w:t>
            </w:r>
          </w:p>
        </w:tc>
        <w:tc>
          <w:tcPr>
            <w:tcW w:w="1599" w:type="dxa"/>
          </w:tcPr>
          <w:p w:rsidR="002000F6" w:rsidRPr="00683063" w:rsidRDefault="002000F6" w:rsidP="00191735">
            <w:pPr>
              <w:pStyle w:val="BodyText"/>
              <w:spacing w:before="8"/>
              <w:jc w:val="center"/>
              <w:rPr>
                <w:b/>
                <w:sz w:val="28"/>
              </w:rPr>
            </w:pPr>
            <w:r w:rsidRPr="00683063">
              <w:rPr>
                <w:b/>
                <w:sz w:val="28"/>
              </w:rPr>
              <w:t>ΑΠΑΙΤΗΣΗ</w:t>
            </w:r>
          </w:p>
        </w:tc>
        <w:tc>
          <w:tcPr>
            <w:tcW w:w="2236" w:type="dxa"/>
          </w:tcPr>
          <w:p w:rsidR="002000F6" w:rsidRPr="00683063" w:rsidRDefault="002000F6" w:rsidP="00191735">
            <w:pPr>
              <w:pStyle w:val="BodyText"/>
              <w:spacing w:before="8"/>
              <w:jc w:val="center"/>
              <w:rPr>
                <w:b/>
                <w:sz w:val="28"/>
              </w:rPr>
            </w:pPr>
            <w:r w:rsidRPr="00683063">
              <w:rPr>
                <w:b/>
                <w:sz w:val="28"/>
              </w:rPr>
              <w:t>ΑΠΑΝΤΗΣΗ</w:t>
            </w:r>
          </w:p>
        </w:tc>
      </w:tr>
      <w:tr w:rsidR="002000F6" w:rsidRPr="00683063" w:rsidTr="002000F6">
        <w:tc>
          <w:tcPr>
            <w:tcW w:w="4461" w:type="dxa"/>
          </w:tcPr>
          <w:p w:rsidR="002000F6" w:rsidRPr="00683063" w:rsidRDefault="002000F6" w:rsidP="00191735">
            <w:pPr>
              <w:shd w:val="clear" w:color="auto" w:fill="FFFFFF"/>
              <w:suppressAutoHyphens/>
              <w:spacing w:line="360" w:lineRule="auto"/>
              <w:ind w:right="709"/>
              <w:contextualSpacing/>
              <w:jc w:val="both"/>
              <w:rPr>
                <w:rFonts w:ascii="Aptos" w:hAnsi="Aptos" w:cs="Aptos"/>
                <w:bdr w:val="none" w:sz="0" w:space="0" w:color="auto" w:frame="1"/>
              </w:rPr>
            </w:pPr>
            <w:r w:rsidRPr="00683063">
              <w:rPr>
                <w:rFonts w:ascii="Aptos" w:hAnsi="Aptos" w:cs="Aptos"/>
                <w:bdr w:val="none" w:sz="0" w:space="0" w:color="auto" w:frame="1"/>
              </w:rPr>
              <w:t>Υποστήριξη στην αποτύπωση των χρηματοοικονομικών καταστάσεων με βάση τα Ελληνικά  Λογιστικά Πρότυπα (ΕΛΠ).</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rPr>
                <w:b/>
                <w:sz w:val="28"/>
              </w:rPr>
            </w:pPr>
          </w:p>
        </w:tc>
      </w:tr>
      <w:tr w:rsidR="002000F6" w:rsidRPr="00683063" w:rsidTr="002000F6">
        <w:tc>
          <w:tcPr>
            <w:tcW w:w="4461" w:type="dxa"/>
          </w:tcPr>
          <w:p w:rsidR="002000F6" w:rsidRPr="00683063" w:rsidRDefault="002000F6" w:rsidP="00191735">
            <w:pPr>
              <w:shd w:val="clear" w:color="auto" w:fill="FFFFFF"/>
              <w:suppressAutoHyphens/>
              <w:spacing w:line="360" w:lineRule="auto"/>
              <w:ind w:right="709"/>
              <w:contextualSpacing/>
              <w:jc w:val="both"/>
              <w:rPr>
                <w:rFonts w:asciiTheme="minorHAnsi" w:hAnsiTheme="minorHAnsi" w:cstheme="minorHAnsi"/>
                <w:bdr w:val="none" w:sz="0" w:space="0" w:color="auto" w:frame="1"/>
              </w:rPr>
            </w:pPr>
            <w:r w:rsidRPr="00683063">
              <w:rPr>
                <w:rFonts w:asciiTheme="minorHAnsi" w:hAnsiTheme="minorHAnsi" w:cstheme="minorHAnsi"/>
                <w:bdr w:val="none" w:sz="0" w:space="0" w:color="auto" w:frame="1"/>
              </w:rPr>
              <w:t xml:space="preserve">Υποστήριξη στην τήρηση  των ισοζυγίων Γενικής Λογιστικής ανά  λογιστική μερίδα έργου. </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rPr>
                <w:b/>
                <w:sz w:val="28"/>
              </w:rPr>
            </w:pPr>
          </w:p>
        </w:tc>
      </w:tr>
      <w:tr w:rsidR="002000F6" w:rsidRPr="00683063" w:rsidTr="002000F6">
        <w:tc>
          <w:tcPr>
            <w:tcW w:w="4461" w:type="dxa"/>
          </w:tcPr>
          <w:p w:rsidR="002000F6" w:rsidRPr="00683063" w:rsidRDefault="002000F6" w:rsidP="00191735">
            <w:pPr>
              <w:shd w:val="clear" w:color="auto" w:fill="FFFFFF"/>
              <w:suppressAutoHyphens/>
              <w:spacing w:after="160" w:line="360" w:lineRule="auto"/>
              <w:ind w:right="709"/>
              <w:contextualSpacing/>
              <w:jc w:val="both"/>
              <w:rPr>
                <w:rFonts w:asciiTheme="minorHAnsi" w:hAnsiTheme="minorHAnsi" w:cstheme="minorHAnsi"/>
                <w:bdr w:val="none" w:sz="0" w:space="0" w:color="auto" w:frame="1"/>
              </w:rPr>
            </w:pPr>
            <w:r w:rsidRPr="00683063">
              <w:rPr>
                <w:rFonts w:asciiTheme="minorHAnsi" w:hAnsiTheme="minorHAnsi" w:cstheme="minorHAnsi"/>
                <w:bdr w:val="none" w:sz="0" w:space="0" w:color="auto" w:frame="1"/>
              </w:rPr>
              <w:t xml:space="preserve">Υποστήριξη στη συμφωνία μεταξύ του Μητρώου Παγίων με την Γενική Λογιστική, καθώς και διενέργεια </w:t>
            </w:r>
            <w:proofErr w:type="spellStart"/>
            <w:r w:rsidRPr="00683063">
              <w:rPr>
                <w:rFonts w:asciiTheme="minorHAnsi" w:hAnsiTheme="minorHAnsi" w:cstheme="minorHAnsi"/>
                <w:bdr w:val="none" w:sz="0" w:space="0" w:color="auto" w:frame="1"/>
              </w:rPr>
              <w:t>τακτοποιητικών</w:t>
            </w:r>
            <w:proofErr w:type="spellEnd"/>
            <w:r w:rsidRPr="00683063">
              <w:rPr>
                <w:rFonts w:asciiTheme="minorHAnsi" w:hAnsiTheme="minorHAnsi" w:cstheme="minorHAnsi"/>
                <w:bdr w:val="none" w:sz="0" w:space="0" w:color="auto" w:frame="1"/>
              </w:rPr>
              <w:t xml:space="preserve"> εγγραφών και δημιουργία αρχείου ετήσιας συμφωνίας</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rPr>
                <w:b/>
                <w:sz w:val="28"/>
              </w:rPr>
            </w:pPr>
          </w:p>
        </w:tc>
      </w:tr>
      <w:tr w:rsidR="002000F6" w:rsidRPr="00683063" w:rsidTr="002000F6">
        <w:tc>
          <w:tcPr>
            <w:tcW w:w="4461" w:type="dxa"/>
          </w:tcPr>
          <w:p w:rsidR="002000F6" w:rsidRPr="00683063" w:rsidRDefault="002000F6" w:rsidP="00191735">
            <w:pPr>
              <w:shd w:val="clear" w:color="auto" w:fill="FFFFFF"/>
              <w:suppressAutoHyphens/>
              <w:spacing w:after="160" w:line="360" w:lineRule="auto"/>
              <w:ind w:right="709"/>
              <w:contextualSpacing/>
              <w:jc w:val="both"/>
              <w:rPr>
                <w:rFonts w:asciiTheme="minorHAnsi" w:hAnsiTheme="minorHAnsi" w:cstheme="minorHAnsi"/>
              </w:rPr>
            </w:pPr>
            <w:r w:rsidRPr="00683063">
              <w:rPr>
                <w:rFonts w:asciiTheme="minorHAnsi" w:hAnsiTheme="minorHAnsi" w:cstheme="minorHAnsi"/>
              </w:rPr>
              <w:t>Υποστήριξη στην προσαρμογή της λογιστικής αποτύπωσης των επιχορηγήσεων παγίων επενδύσεων και των αντίστοιχων αποσβέσεων και αντίστοιχη αποτύπωση στις χρηματοοικονομικές καταστάσεις</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rPr>
                <w:b/>
                <w:sz w:val="28"/>
              </w:rPr>
            </w:pPr>
          </w:p>
        </w:tc>
      </w:tr>
      <w:tr w:rsidR="002000F6" w:rsidRPr="00683063" w:rsidTr="002000F6">
        <w:tc>
          <w:tcPr>
            <w:tcW w:w="4461" w:type="dxa"/>
          </w:tcPr>
          <w:p w:rsidR="002000F6" w:rsidRPr="00683063" w:rsidRDefault="002000F6" w:rsidP="00191735">
            <w:pPr>
              <w:pStyle w:val="BodyText"/>
              <w:tabs>
                <w:tab w:val="left" w:pos="1260"/>
              </w:tabs>
              <w:spacing w:before="8"/>
              <w:rPr>
                <w:rFonts w:asciiTheme="minorHAnsi" w:hAnsiTheme="minorHAnsi" w:cstheme="minorHAnsi"/>
              </w:rPr>
            </w:pPr>
            <w:r w:rsidRPr="00683063">
              <w:rPr>
                <w:rFonts w:asciiTheme="minorHAnsi" w:hAnsiTheme="minorHAnsi" w:cstheme="minorHAnsi"/>
              </w:rPr>
              <w:t>Υποστήριξη στην συμφωνία των υπολοίπων των περατωμένων έργων και την επιστροφή τυχών αδιάθετων ποσών στους φορείς χρηματοδότησης</w:t>
            </w:r>
          </w:p>
          <w:p w:rsidR="002000F6" w:rsidRPr="00683063" w:rsidRDefault="002000F6" w:rsidP="00191735">
            <w:pPr>
              <w:pStyle w:val="BodyText"/>
              <w:tabs>
                <w:tab w:val="left" w:pos="1260"/>
              </w:tabs>
              <w:spacing w:before="8"/>
              <w:rPr>
                <w:b/>
                <w:sz w:val="28"/>
              </w:rPr>
            </w:pPr>
            <w:r w:rsidRPr="00683063">
              <w:rPr>
                <w:b/>
                <w:sz w:val="28"/>
              </w:rPr>
              <w:tab/>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rPr>
                <w:b/>
                <w:sz w:val="28"/>
              </w:rPr>
            </w:pPr>
          </w:p>
        </w:tc>
      </w:tr>
      <w:tr w:rsidR="002000F6" w:rsidRPr="00683063" w:rsidTr="002000F6">
        <w:tc>
          <w:tcPr>
            <w:tcW w:w="4461" w:type="dxa"/>
          </w:tcPr>
          <w:p w:rsidR="002000F6" w:rsidRPr="00683063" w:rsidRDefault="002000F6" w:rsidP="00191735">
            <w:pPr>
              <w:suppressAutoHyphens/>
              <w:spacing w:after="120" w:line="360" w:lineRule="auto"/>
              <w:ind w:right="709"/>
              <w:contextualSpacing/>
              <w:jc w:val="both"/>
              <w:rPr>
                <w:rFonts w:asciiTheme="minorHAnsi" w:hAnsiTheme="minorHAnsi" w:cstheme="minorHAnsi"/>
              </w:rPr>
            </w:pPr>
            <w:r w:rsidRPr="00683063">
              <w:rPr>
                <w:rFonts w:asciiTheme="minorHAnsi" w:hAnsiTheme="minorHAnsi" w:cstheme="minorHAnsi"/>
              </w:rPr>
              <w:t>Υποστήριξη στην επεξεργασία οικονομικών δεδομένων και παραγωγή αναφορών στο πλαίσιο αναγκών της διοίκησης</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rPr>
                <w:b/>
                <w:sz w:val="28"/>
              </w:rPr>
            </w:pPr>
          </w:p>
        </w:tc>
      </w:tr>
      <w:tr w:rsidR="002000F6" w:rsidRPr="00683063" w:rsidTr="002000F6">
        <w:tc>
          <w:tcPr>
            <w:tcW w:w="4461" w:type="dxa"/>
          </w:tcPr>
          <w:p w:rsidR="002000F6" w:rsidRPr="00683063" w:rsidRDefault="002000F6" w:rsidP="00191735">
            <w:pPr>
              <w:pStyle w:val="BodyText"/>
              <w:tabs>
                <w:tab w:val="left" w:pos="1260"/>
              </w:tabs>
              <w:spacing w:before="8"/>
              <w:rPr>
                <w:rFonts w:asciiTheme="minorHAnsi" w:hAnsiTheme="minorHAnsi" w:cstheme="minorHAnsi"/>
                <w:bdr w:val="none" w:sz="0" w:space="0" w:color="auto" w:frame="1"/>
              </w:rPr>
            </w:pPr>
            <w:r w:rsidRPr="00683063">
              <w:rPr>
                <w:rFonts w:asciiTheme="minorHAnsi" w:hAnsiTheme="minorHAnsi" w:cstheme="minorHAnsi"/>
                <w:bdr w:val="none" w:sz="0" w:space="0" w:color="auto" w:frame="1"/>
              </w:rPr>
              <w:t xml:space="preserve">Υποστήριξη </w:t>
            </w:r>
            <w:r w:rsidRPr="00683063">
              <w:rPr>
                <w:rFonts w:asciiTheme="minorHAnsi" w:hAnsiTheme="minorHAnsi" w:cstheme="minorHAnsi"/>
                <w:b/>
                <w:u w:val="single"/>
                <w:bdr w:val="none" w:sz="0" w:space="0" w:color="auto" w:frame="1"/>
              </w:rPr>
              <w:t>στην επιπλέον</w:t>
            </w:r>
            <w:r w:rsidRPr="00683063">
              <w:rPr>
                <w:rFonts w:asciiTheme="minorHAnsi" w:hAnsiTheme="minorHAnsi" w:cstheme="minorHAnsi"/>
                <w:bdr w:val="none" w:sz="0" w:space="0" w:color="auto" w:frame="1"/>
              </w:rPr>
              <w:t xml:space="preserve"> παραμετροποίηση του νέου πληροφοριακού συστήματος με βασικό πυλώνα την παρακολούθηση ανά έργο τόσο σε λογιστικό όσο και σε διαχειριστικό επίπεδο</w:t>
            </w:r>
          </w:p>
          <w:p w:rsidR="002000F6" w:rsidRPr="00683063" w:rsidRDefault="002000F6" w:rsidP="00191735">
            <w:pPr>
              <w:pStyle w:val="BodyText"/>
              <w:tabs>
                <w:tab w:val="left" w:pos="1260"/>
              </w:tabs>
              <w:spacing w:before="8"/>
              <w:rPr>
                <w:rFonts w:asciiTheme="minorHAnsi" w:hAnsiTheme="minorHAnsi" w:cstheme="minorHAnsi"/>
              </w:rPr>
            </w:pP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rPr>
                <w:b/>
                <w:sz w:val="28"/>
              </w:rPr>
            </w:pPr>
          </w:p>
        </w:tc>
      </w:tr>
      <w:tr w:rsidR="002000F6" w:rsidRPr="00683063" w:rsidTr="002000F6">
        <w:tc>
          <w:tcPr>
            <w:tcW w:w="4461" w:type="dxa"/>
          </w:tcPr>
          <w:p w:rsidR="002000F6" w:rsidRPr="00683063" w:rsidRDefault="002000F6" w:rsidP="00191735">
            <w:pPr>
              <w:shd w:val="clear" w:color="auto" w:fill="FFFFFF"/>
              <w:suppressAutoHyphens/>
              <w:spacing w:line="360" w:lineRule="auto"/>
              <w:ind w:right="709"/>
              <w:contextualSpacing/>
              <w:jc w:val="both"/>
              <w:rPr>
                <w:rFonts w:asciiTheme="minorHAnsi" w:hAnsiTheme="minorHAnsi" w:cstheme="minorHAnsi"/>
                <w:bdr w:val="none" w:sz="0" w:space="0" w:color="auto" w:frame="1"/>
              </w:rPr>
            </w:pPr>
            <w:r w:rsidRPr="00683063">
              <w:rPr>
                <w:rFonts w:asciiTheme="minorHAnsi" w:hAnsiTheme="minorHAnsi" w:cstheme="minorHAnsi"/>
                <w:bdr w:val="none" w:sz="0" w:space="0" w:color="auto" w:frame="1"/>
              </w:rPr>
              <w:t xml:space="preserve">Υποστήριξη στην σύνταξη των εντύπων της φορολογίας εισοδήματος , βάσει της </w:t>
            </w:r>
            <w:r w:rsidRPr="00683063">
              <w:rPr>
                <w:rFonts w:asciiTheme="minorHAnsi" w:hAnsiTheme="minorHAnsi" w:cstheme="minorHAnsi"/>
                <w:bdr w:val="none" w:sz="0" w:space="0" w:color="auto" w:frame="1"/>
              </w:rPr>
              <w:lastRenderedPageBreak/>
              <w:t xml:space="preserve">ισχύουσας φορολογικής νομοθεσίας που διέπει τον φορέα. </w:t>
            </w:r>
          </w:p>
        </w:tc>
        <w:tc>
          <w:tcPr>
            <w:tcW w:w="1599" w:type="dxa"/>
          </w:tcPr>
          <w:p w:rsidR="002000F6" w:rsidRPr="00683063" w:rsidRDefault="002000F6" w:rsidP="00191735">
            <w:pPr>
              <w:pStyle w:val="BodyText"/>
              <w:spacing w:before="8"/>
              <w:jc w:val="center"/>
              <w:rPr>
                <w:bCs/>
                <w:sz w:val="28"/>
              </w:rPr>
            </w:pPr>
            <w:r w:rsidRPr="00683063">
              <w:rPr>
                <w:bCs/>
                <w:sz w:val="28"/>
              </w:rPr>
              <w:lastRenderedPageBreak/>
              <w:t>ΝΑΙ</w:t>
            </w:r>
          </w:p>
        </w:tc>
        <w:tc>
          <w:tcPr>
            <w:tcW w:w="2236" w:type="dxa"/>
          </w:tcPr>
          <w:p w:rsidR="002000F6" w:rsidRPr="00683063" w:rsidRDefault="002000F6" w:rsidP="00191735">
            <w:pPr>
              <w:pStyle w:val="BodyText"/>
              <w:spacing w:before="8"/>
              <w:rPr>
                <w:b/>
                <w:sz w:val="28"/>
              </w:rPr>
            </w:pPr>
          </w:p>
        </w:tc>
      </w:tr>
      <w:tr w:rsidR="002000F6" w:rsidRPr="00683063" w:rsidTr="002000F6">
        <w:tc>
          <w:tcPr>
            <w:tcW w:w="4461" w:type="dxa"/>
          </w:tcPr>
          <w:p w:rsidR="002000F6" w:rsidRPr="00683063" w:rsidRDefault="002000F6" w:rsidP="00191735">
            <w:pPr>
              <w:shd w:val="clear" w:color="auto" w:fill="FFFFFF"/>
              <w:suppressAutoHyphens/>
              <w:spacing w:line="360" w:lineRule="auto"/>
              <w:ind w:right="709"/>
              <w:contextualSpacing/>
              <w:jc w:val="both"/>
              <w:rPr>
                <w:rFonts w:asciiTheme="minorHAnsi" w:hAnsiTheme="minorHAnsi" w:cstheme="minorHAnsi"/>
                <w:bdr w:val="none" w:sz="0" w:space="0" w:color="auto" w:frame="1"/>
              </w:rPr>
            </w:pPr>
            <w:r w:rsidRPr="00683063">
              <w:rPr>
                <w:rFonts w:asciiTheme="minorHAnsi" w:hAnsiTheme="minorHAnsi" w:cstheme="minorHAnsi"/>
                <w:bdr w:val="none" w:sz="0" w:space="0" w:color="auto" w:frame="1"/>
              </w:rPr>
              <w:lastRenderedPageBreak/>
              <w:t xml:space="preserve">Συμβουλευτικές λογιστικές υπηρεσίες (φορολογικές/ ασφαλιστικές/ δημοσιονομικές). </w:t>
            </w:r>
          </w:p>
          <w:p w:rsidR="002000F6" w:rsidRPr="00683063" w:rsidRDefault="002000F6" w:rsidP="00191735">
            <w:pPr>
              <w:pStyle w:val="BodyText"/>
              <w:tabs>
                <w:tab w:val="left" w:pos="1260"/>
              </w:tabs>
              <w:spacing w:before="8"/>
              <w:rPr>
                <w:rFonts w:asciiTheme="minorHAnsi" w:hAnsiTheme="minorHAnsi" w:cstheme="minorHAnsi"/>
              </w:rPr>
            </w:pP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rPr>
                <w:b/>
                <w:sz w:val="28"/>
              </w:rPr>
            </w:pPr>
          </w:p>
        </w:tc>
      </w:tr>
      <w:tr w:rsidR="002000F6" w:rsidRPr="00683063" w:rsidTr="002000F6">
        <w:tc>
          <w:tcPr>
            <w:tcW w:w="4461" w:type="dxa"/>
          </w:tcPr>
          <w:p w:rsidR="002000F6" w:rsidRPr="00683063" w:rsidRDefault="002000F6" w:rsidP="00191735">
            <w:pPr>
              <w:pStyle w:val="BodyText"/>
              <w:tabs>
                <w:tab w:val="left" w:pos="1260"/>
              </w:tabs>
              <w:spacing w:before="8"/>
              <w:rPr>
                <w:rFonts w:asciiTheme="minorHAnsi" w:hAnsiTheme="minorHAnsi" w:cstheme="minorHAnsi"/>
              </w:rPr>
            </w:pPr>
            <w:r w:rsidRPr="00683063">
              <w:rPr>
                <w:rFonts w:asciiTheme="minorHAnsi" w:hAnsiTheme="minorHAnsi" w:cstheme="minorHAnsi"/>
                <w:bdr w:val="none" w:sz="0" w:space="0" w:color="auto" w:frame="1"/>
              </w:rPr>
              <w:t>Υποστήριξη και συνεργασία με Ορκωτούς ελεγκτές και λοιπούς Οικονομικούς, διαχειριστικούς, φορολογικούς ελέγχους</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rPr>
                <w:b/>
                <w:sz w:val="28"/>
              </w:rPr>
            </w:pPr>
          </w:p>
        </w:tc>
      </w:tr>
      <w:tr w:rsidR="002000F6" w:rsidRPr="00683063" w:rsidTr="002000F6">
        <w:trPr>
          <w:trHeight w:val="930"/>
        </w:trPr>
        <w:tc>
          <w:tcPr>
            <w:tcW w:w="4461" w:type="dxa"/>
          </w:tcPr>
          <w:p w:rsidR="002000F6" w:rsidRPr="00683063" w:rsidRDefault="002000F6" w:rsidP="00191735">
            <w:pPr>
              <w:spacing w:line="360" w:lineRule="auto"/>
              <w:ind w:right="42"/>
              <w:jc w:val="both"/>
              <w:rPr>
                <w:rFonts w:asciiTheme="minorHAnsi" w:eastAsiaTheme="minorHAnsi" w:hAnsiTheme="minorHAnsi" w:cstheme="minorBidi"/>
                <w:b/>
                <w:bCs/>
                <w:sz w:val="24"/>
                <w:szCs w:val="24"/>
              </w:rPr>
            </w:pPr>
            <w:r w:rsidRPr="00683063">
              <w:rPr>
                <w:b/>
                <w:bCs/>
                <w:sz w:val="24"/>
                <w:szCs w:val="24"/>
              </w:rPr>
              <w:t>Β. Υποστηρικτικές εργασίες Προϋπολογισμού - Δημοσιονομική παρακολούθηση &amp; αναφορές</w:t>
            </w:r>
          </w:p>
          <w:p w:rsidR="002000F6" w:rsidRPr="00683063" w:rsidRDefault="002000F6" w:rsidP="00191735">
            <w:pPr>
              <w:pStyle w:val="BodyText"/>
              <w:tabs>
                <w:tab w:val="left" w:pos="1260"/>
              </w:tabs>
              <w:spacing w:before="8"/>
              <w:rPr>
                <w:rFonts w:asciiTheme="minorHAnsi" w:hAnsiTheme="minorHAnsi" w:cstheme="minorHAnsi"/>
              </w:rPr>
            </w:pPr>
          </w:p>
        </w:tc>
        <w:tc>
          <w:tcPr>
            <w:tcW w:w="1599" w:type="dxa"/>
          </w:tcPr>
          <w:p w:rsidR="002000F6" w:rsidRPr="00683063" w:rsidRDefault="002000F6" w:rsidP="00191735">
            <w:pPr>
              <w:pStyle w:val="BodyText"/>
              <w:spacing w:before="8"/>
              <w:jc w:val="center"/>
              <w:rPr>
                <w:b/>
                <w:sz w:val="28"/>
              </w:rPr>
            </w:pPr>
            <w:r w:rsidRPr="00683063">
              <w:rPr>
                <w:b/>
                <w:sz w:val="28"/>
              </w:rPr>
              <w:t>ΑΠΑΙΤΗΣΗ</w:t>
            </w:r>
          </w:p>
        </w:tc>
        <w:tc>
          <w:tcPr>
            <w:tcW w:w="2236" w:type="dxa"/>
          </w:tcPr>
          <w:p w:rsidR="002000F6" w:rsidRPr="00683063" w:rsidRDefault="002000F6" w:rsidP="00191735">
            <w:pPr>
              <w:pStyle w:val="BodyText"/>
              <w:spacing w:before="8"/>
              <w:jc w:val="center"/>
              <w:rPr>
                <w:b/>
                <w:sz w:val="28"/>
              </w:rPr>
            </w:pPr>
            <w:r w:rsidRPr="00683063">
              <w:rPr>
                <w:b/>
                <w:sz w:val="28"/>
              </w:rPr>
              <w:t>ΑΠΑΝΤΗΣΗ</w:t>
            </w:r>
          </w:p>
        </w:tc>
      </w:tr>
      <w:tr w:rsidR="002000F6" w:rsidRPr="00683063" w:rsidTr="002000F6">
        <w:tc>
          <w:tcPr>
            <w:tcW w:w="4461" w:type="dxa"/>
          </w:tcPr>
          <w:p w:rsidR="002000F6" w:rsidRPr="00683063" w:rsidRDefault="002000F6" w:rsidP="00191735">
            <w:pPr>
              <w:spacing w:line="360" w:lineRule="auto"/>
              <w:ind w:right="42"/>
              <w:jc w:val="both"/>
              <w:rPr>
                <w:rFonts w:asciiTheme="minorHAnsi" w:hAnsiTheme="minorHAnsi" w:cstheme="minorHAnsi"/>
                <w:bdr w:val="none" w:sz="0" w:space="0" w:color="auto" w:frame="1"/>
              </w:rPr>
            </w:pPr>
            <w:r w:rsidRPr="00683063">
              <w:rPr>
                <w:rFonts w:asciiTheme="minorHAnsi" w:hAnsiTheme="minorHAnsi" w:cstheme="minorHAnsi"/>
                <w:bdr w:val="none" w:sz="0" w:space="0" w:color="auto" w:frame="1"/>
              </w:rPr>
              <w:t>Υποστήριξη του Φορέα σε απαραίτητες δημοσιονομικές αναφορές μέσω της χρήσης των  πληροφοριακών συστημάτων, ώστε να εξάγονται όλες οι απαιτούμενες αναφορές προϋπολογισμού και λοιπές δημοσιονομικές αναφορές. Ειδικότερα :</w:t>
            </w:r>
          </w:p>
          <w:p w:rsidR="002000F6" w:rsidRPr="00683063" w:rsidRDefault="002000F6" w:rsidP="002000F6">
            <w:pPr>
              <w:pStyle w:val="ListParagraph"/>
              <w:widowControl/>
              <w:numPr>
                <w:ilvl w:val="0"/>
                <w:numId w:val="1"/>
              </w:numPr>
              <w:autoSpaceDE/>
              <w:autoSpaceDN/>
              <w:spacing w:after="160" w:line="360" w:lineRule="auto"/>
              <w:ind w:left="284" w:right="42" w:firstLine="0"/>
              <w:contextualSpacing/>
              <w:jc w:val="both"/>
              <w:rPr>
                <w:rFonts w:asciiTheme="minorHAnsi" w:hAnsiTheme="minorHAnsi" w:cstheme="minorHAnsi"/>
                <w:bdr w:val="none" w:sz="0" w:space="0" w:color="auto" w:frame="1"/>
              </w:rPr>
            </w:pPr>
            <w:r w:rsidRPr="00683063">
              <w:rPr>
                <w:rFonts w:asciiTheme="minorHAnsi" w:hAnsiTheme="minorHAnsi" w:cstheme="minorHAnsi"/>
                <w:bdr w:val="none" w:sz="0" w:space="0" w:color="auto" w:frame="1"/>
              </w:rPr>
              <w:t xml:space="preserve">Σύνοψη Μητρώου Δεσμεύσεων </w:t>
            </w:r>
          </w:p>
          <w:p w:rsidR="002000F6" w:rsidRPr="00683063" w:rsidRDefault="002000F6" w:rsidP="002000F6">
            <w:pPr>
              <w:pStyle w:val="ListParagraph"/>
              <w:widowControl/>
              <w:numPr>
                <w:ilvl w:val="0"/>
                <w:numId w:val="1"/>
              </w:numPr>
              <w:autoSpaceDE/>
              <w:autoSpaceDN/>
              <w:spacing w:after="160" w:line="360" w:lineRule="auto"/>
              <w:ind w:left="284" w:right="42" w:firstLine="0"/>
              <w:contextualSpacing/>
              <w:jc w:val="both"/>
              <w:rPr>
                <w:rFonts w:asciiTheme="minorHAnsi" w:hAnsiTheme="minorHAnsi" w:cstheme="minorHAnsi"/>
                <w:bdr w:val="none" w:sz="0" w:space="0" w:color="auto" w:frame="1"/>
              </w:rPr>
            </w:pPr>
            <w:r w:rsidRPr="00683063">
              <w:rPr>
                <w:rFonts w:asciiTheme="minorHAnsi" w:hAnsiTheme="minorHAnsi" w:cstheme="minorHAnsi"/>
                <w:bdr w:val="none" w:sz="0" w:space="0" w:color="auto" w:frame="1"/>
              </w:rPr>
              <w:t xml:space="preserve">Μηνιαίο Δελτίο 3 (για ΝΠΙΔ) </w:t>
            </w:r>
          </w:p>
          <w:p w:rsidR="002000F6" w:rsidRPr="00683063" w:rsidRDefault="002000F6" w:rsidP="002000F6">
            <w:pPr>
              <w:pStyle w:val="ListParagraph"/>
              <w:widowControl/>
              <w:numPr>
                <w:ilvl w:val="0"/>
                <w:numId w:val="1"/>
              </w:numPr>
              <w:autoSpaceDE/>
              <w:autoSpaceDN/>
              <w:spacing w:after="160" w:line="360" w:lineRule="auto"/>
              <w:ind w:left="284" w:right="42" w:firstLine="0"/>
              <w:contextualSpacing/>
              <w:jc w:val="both"/>
              <w:rPr>
                <w:rFonts w:asciiTheme="minorHAnsi" w:hAnsiTheme="minorHAnsi" w:cstheme="minorHAnsi"/>
                <w:bdr w:val="none" w:sz="0" w:space="0" w:color="auto" w:frame="1"/>
              </w:rPr>
            </w:pPr>
            <w:proofErr w:type="spellStart"/>
            <w:r w:rsidRPr="00683063">
              <w:rPr>
                <w:rFonts w:asciiTheme="minorHAnsi" w:hAnsiTheme="minorHAnsi" w:cstheme="minorHAnsi"/>
                <w:bdr w:val="none" w:sz="0" w:space="0" w:color="auto" w:frame="1"/>
              </w:rPr>
              <w:t>Στοχοθεσία</w:t>
            </w:r>
            <w:proofErr w:type="spellEnd"/>
            <w:r w:rsidRPr="00683063">
              <w:rPr>
                <w:rFonts w:asciiTheme="minorHAnsi" w:hAnsiTheme="minorHAnsi" w:cstheme="minorHAnsi"/>
                <w:bdr w:val="none" w:sz="0" w:space="0" w:color="auto" w:frame="1"/>
              </w:rPr>
              <w:t xml:space="preserve"> και εκτέλεση προϋπολογισμού</w:t>
            </w:r>
          </w:p>
          <w:p w:rsidR="002000F6" w:rsidRPr="00683063" w:rsidRDefault="002000F6" w:rsidP="002000F6">
            <w:pPr>
              <w:pStyle w:val="ListParagraph"/>
              <w:widowControl/>
              <w:numPr>
                <w:ilvl w:val="0"/>
                <w:numId w:val="1"/>
              </w:numPr>
              <w:autoSpaceDE/>
              <w:autoSpaceDN/>
              <w:spacing w:line="360" w:lineRule="auto"/>
              <w:ind w:left="284" w:right="42" w:firstLine="0"/>
              <w:contextualSpacing/>
              <w:jc w:val="both"/>
              <w:rPr>
                <w:rFonts w:asciiTheme="minorHAnsi" w:hAnsiTheme="minorHAnsi" w:cstheme="minorHAnsi"/>
                <w:bdr w:val="none" w:sz="0" w:space="0" w:color="auto" w:frame="1"/>
              </w:rPr>
            </w:pPr>
            <w:r w:rsidRPr="00683063">
              <w:rPr>
                <w:rFonts w:asciiTheme="minorHAnsi" w:hAnsiTheme="minorHAnsi" w:cstheme="minorHAnsi"/>
                <w:bdr w:val="none" w:sz="0" w:space="0" w:color="auto" w:frame="1"/>
              </w:rPr>
              <w:t xml:space="preserve">Τριμηνιαία Έκθεση τήρησης &amp; λειτουργίας Μητρώου Δεσμεύσεων </w:t>
            </w:r>
          </w:p>
          <w:p w:rsidR="002000F6" w:rsidRPr="00683063" w:rsidRDefault="002000F6" w:rsidP="002000F6">
            <w:pPr>
              <w:pStyle w:val="NormalWeb"/>
              <w:numPr>
                <w:ilvl w:val="0"/>
                <w:numId w:val="1"/>
              </w:numPr>
              <w:spacing w:after="0" w:afterAutospacing="0" w:line="360" w:lineRule="auto"/>
              <w:ind w:left="709" w:hanging="425"/>
              <w:rPr>
                <w:rFonts w:asciiTheme="minorHAnsi" w:eastAsia="Calibri" w:hAnsiTheme="minorHAnsi" w:cstheme="minorHAnsi"/>
                <w:sz w:val="22"/>
                <w:szCs w:val="22"/>
                <w:bdr w:val="none" w:sz="0" w:space="0" w:color="auto" w:frame="1"/>
                <w:lang w:eastAsia="en-US"/>
              </w:rPr>
            </w:pPr>
            <w:r w:rsidRPr="00683063">
              <w:rPr>
                <w:rFonts w:asciiTheme="minorHAnsi" w:eastAsia="Calibri" w:hAnsiTheme="minorHAnsi" w:cstheme="minorHAnsi"/>
                <w:sz w:val="22"/>
                <w:szCs w:val="22"/>
                <w:bdr w:val="none" w:sz="0" w:space="0" w:color="auto" w:frame="1"/>
                <w:lang w:eastAsia="en-US"/>
              </w:rPr>
              <w:t>Ερωτηματολόγιο ΕΛΣΤΑΤ-ΤΡΊΜΗΝΟ-ΕΤΗΣΙΟ</w:t>
            </w:r>
          </w:p>
          <w:p w:rsidR="002000F6" w:rsidRPr="00683063" w:rsidRDefault="002000F6" w:rsidP="002000F6">
            <w:pPr>
              <w:pStyle w:val="ListParagraph"/>
              <w:widowControl/>
              <w:numPr>
                <w:ilvl w:val="0"/>
                <w:numId w:val="1"/>
              </w:numPr>
              <w:autoSpaceDE/>
              <w:autoSpaceDN/>
              <w:spacing w:after="160" w:line="360" w:lineRule="auto"/>
              <w:ind w:left="284" w:right="42" w:firstLine="0"/>
              <w:contextualSpacing/>
              <w:jc w:val="both"/>
              <w:rPr>
                <w:rFonts w:asciiTheme="minorHAnsi" w:hAnsiTheme="minorHAnsi" w:cstheme="minorHAnsi"/>
                <w:bdr w:val="none" w:sz="0" w:space="0" w:color="auto" w:frame="1"/>
              </w:rPr>
            </w:pPr>
            <w:r w:rsidRPr="00683063">
              <w:rPr>
                <w:rFonts w:asciiTheme="minorHAnsi" w:hAnsiTheme="minorHAnsi" w:cstheme="minorHAnsi"/>
                <w:bdr w:val="none" w:sz="0" w:space="0" w:color="auto" w:frame="1"/>
              </w:rPr>
              <w:t>Τριμηνιαία Αναφορά KPI-κύριου δείκτη επιδόσεων πληρωμών.</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pacing w:line="360" w:lineRule="auto"/>
              <w:ind w:right="42"/>
              <w:jc w:val="both"/>
              <w:rPr>
                <w:b/>
                <w:bCs/>
                <w:sz w:val="24"/>
                <w:szCs w:val="24"/>
              </w:rPr>
            </w:pPr>
            <w:r w:rsidRPr="00683063">
              <w:rPr>
                <w:rFonts w:asciiTheme="minorHAnsi" w:hAnsiTheme="minorHAnsi"/>
              </w:rPr>
              <w:t>Υποστήριξη στην σύνταξη Συνοπτικού και Αναλυτικού  ετήσιου  Προϋπολογισμού</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uppressAutoHyphens/>
              <w:spacing w:after="120" w:line="360" w:lineRule="auto"/>
              <w:ind w:right="42"/>
              <w:contextualSpacing/>
              <w:jc w:val="both"/>
              <w:rPr>
                <w:rFonts w:asciiTheme="minorHAnsi" w:hAnsiTheme="minorHAnsi"/>
              </w:rPr>
            </w:pPr>
            <w:r w:rsidRPr="00683063">
              <w:rPr>
                <w:rFonts w:asciiTheme="minorHAnsi" w:hAnsiTheme="minorHAnsi"/>
              </w:rPr>
              <w:t xml:space="preserve">Υποστήριξη στην παρακολούθηση εγκεκριμένου προϋπολογισμού, τόσο σε επίπεδο λειτουργίας όσο και σε επίπεδο έργων. </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pacing w:line="360" w:lineRule="auto"/>
              <w:ind w:right="42"/>
              <w:jc w:val="both"/>
              <w:rPr>
                <w:b/>
                <w:bCs/>
                <w:sz w:val="24"/>
                <w:szCs w:val="24"/>
              </w:rPr>
            </w:pPr>
            <w:r w:rsidRPr="00683063">
              <w:rPr>
                <w:rFonts w:asciiTheme="minorHAnsi" w:hAnsiTheme="minorHAnsi"/>
              </w:rPr>
              <w:t>Υποστήριξη στην αποτύπωση και στην τήρησή του Προϋπολογισμού με βάση το ΠΔ80/2016 - ΦΕΚ 145/Α/5.8.2016</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uppressAutoHyphens/>
              <w:spacing w:after="120" w:line="360" w:lineRule="auto"/>
              <w:ind w:right="709"/>
              <w:contextualSpacing/>
              <w:jc w:val="both"/>
              <w:rPr>
                <w:rFonts w:asciiTheme="minorHAnsi" w:hAnsiTheme="minorHAnsi"/>
              </w:rPr>
            </w:pPr>
            <w:r w:rsidRPr="00683063">
              <w:rPr>
                <w:rFonts w:asciiTheme="minorHAnsi" w:hAnsiTheme="minorHAnsi"/>
              </w:rPr>
              <w:t xml:space="preserve">Υποστήριξη στην σύνταξη όλων των δημοσιονομικών αναφορών με υποχρέωση </w:t>
            </w:r>
            <w:r w:rsidRPr="00683063">
              <w:rPr>
                <w:rFonts w:asciiTheme="minorHAnsi" w:hAnsiTheme="minorHAnsi"/>
              </w:rPr>
              <w:lastRenderedPageBreak/>
              <w:t xml:space="preserve">αποστολής τους στο αρμόδιο εποπτεύον Υπουργείο και το Γενικό Λογιστήριο του Κράτους. </w:t>
            </w:r>
          </w:p>
        </w:tc>
        <w:tc>
          <w:tcPr>
            <w:tcW w:w="1599" w:type="dxa"/>
          </w:tcPr>
          <w:p w:rsidR="002000F6" w:rsidRPr="00683063" w:rsidRDefault="002000F6" w:rsidP="00191735">
            <w:pPr>
              <w:pStyle w:val="BodyText"/>
              <w:spacing w:before="8"/>
              <w:jc w:val="center"/>
              <w:rPr>
                <w:bCs/>
                <w:sz w:val="28"/>
              </w:rPr>
            </w:pPr>
            <w:r w:rsidRPr="00683063">
              <w:rPr>
                <w:bCs/>
                <w:sz w:val="28"/>
              </w:rPr>
              <w:lastRenderedPageBreak/>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uppressAutoHyphens/>
              <w:spacing w:after="120" w:line="360" w:lineRule="auto"/>
              <w:ind w:right="709"/>
              <w:contextualSpacing/>
              <w:jc w:val="both"/>
              <w:rPr>
                <w:rFonts w:asciiTheme="minorHAnsi" w:hAnsiTheme="minorHAnsi"/>
              </w:rPr>
            </w:pPr>
            <w:r w:rsidRPr="00683063">
              <w:rPr>
                <w:rFonts w:asciiTheme="minorHAnsi" w:hAnsiTheme="minorHAnsi"/>
              </w:rPr>
              <w:lastRenderedPageBreak/>
              <w:t>Υποστήριξη στην σύνταξη Ετήσιου Απολογισμού Εσόδων-Εξόδων προς αποστολή στις αρμόδιες ελεγκτικές υπηρεσίες (Ελεγκτικό Συνέδριο, Γενικό Λογιστήριο του Κράτους κτλ.)</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uppressAutoHyphens/>
              <w:spacing w:after="120" w:line="360" w:lineRule="auto"/>
              <w:ind w:right="709"/>
              <w:contextualSpacing/>
              <w:jc w:val="both"/>
              <w:rPr>
                <w:rFonts w:asciiTheme="minorHAnsi" w:hAnsiTheme="minorHAnsi"/>
              </w:rPr>
            </w:pPr>
            <w:r w:rsidRPr="00683063">
              <w:rPr>
                <w:rFonts w:asciiTheme="minorHAnsi" w:hAnsiTheme="minorHAnsi"/>
              </w:rPr>
              <w:t>Υποστήριξη στην σύνταξη των απαιτούμενων αναμορφώσεων προϋπολογισμού</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hd w:val="clear" w:color="auto" w:fill="FFFFFF"/>
              <w:spacing w:line="360" w:lineRule="auto"/>
              <w:ind w:right="709"/>
              <w:jc w:val="both"/>
              <w:rPr>
                <w:b/>
                <w:bCs/>
                <w:sz w:val="24"/>
                <w:szCs w:val="24"/>
                <w:bdr w:val="none" w:sz="0" w:space="0" w:color="auto" w:frame="1"/>
              </w:rPr>
            </w:pPr>
            <w:r w:rsidRPr="00683063">
              <w:rPr>
                <w:b/>
                <w:bCs/>
                <w:sz w:val="24"/>
                <w:szCs w:val="24"/>
                <w:bdr w:val="none" w:sz="0" w:space="0" w:color="auto" w:frame="1"/>
              </w:rPr>
              <w:t>Γ. Υποστηρικτικές Υπηρεσίες Λογιστηρίου</w:t>
            </w:r>
          </w:p>
        </w:tc>
        <w:tc>
          <w:tcPr>
            <w:tcW w:w="1599" w:type="dxa"/>
          </w:tcPr>
          <w:p w:rsidR="002000F6" w:rsidRPr="00683063" w:rsidRDefault="002000F6" w:rsidP="00191735">
            <w:pPr>
              <w:pStyle w:val="BodyText"/>
              <w:spacing w:before="8"/>
              <w:jc w:val="center"/>
              <w:rPr>
                <w:b/>
                <w:sz w:val="28"/>
              </w:rPr>
            </w:pPr>
            <w:r w:rsidRPr="00683063">
              <w:rPr>
                <w:b/>
                <w:sz w:val="28"/>
              </w:rPr>
              <w:t>ΑΠΑΙΤΗΣΗ</w:t>
            </w:r>
          </w:p>
        </w:tc>
        <w:tc>
          <w:tcPr>
            <w:tcW w:w="2236" w:type="dxa"/>
          </w:tcPr>
          <w:p w:rsidR="002000F6" w:rsidRPr="00683063" w:rsidRDefault="002000F6" w:rsidP="00191735">
            <w:pPr>
              <w:pStyle w:val="BodyText"/>
              <w:spacing w:before="8"/>
              <w:jc w:val="center"/>
              <w:rPr>
                <w:b/>
                <w:sz w:val="28"/>
              </w:rPr>
            </w:pPr>
            <w:r w:rsidRPr="00683063">
              <w:rPr>
                <w:b/>
                <w:sz w:val="28"/>
              </w:rPr>
              <w:t>ΑΠΑΝΤΗΣΗ</w:t>
            </w:r>
          </w:p>
        </w:tc>
      </w:tr>
      <w:tr w:rsidR="002000F6" w:rsidRPr="00683063" w:rsidTr="002000F6">
        <w:tc>
          <w:tcPr>
            <w:tcW w:w="4461" w:type="dxa"/>
          </w:tcPr>
          <w:p w:rsidR="002000F6" w:rsidRPr="00683063" w:rsidRDefault="002000F6" w:rsidP="00191735">
            <w:pPr>
              <w:suppressAutoHyphens/>
              <w:spacing w:after="120" w:line="360" w:lineRule="auto"/>
              <w:ind w:right="709"/>
              <w:contextualSpacing/>
              <w:jc w:val="both"/>
              <w:rPr>
                <w:rFonts w:asciiTheme="minorHAnsi" w:hAnsiTheme="minorHAnsi"/>
              </w:rPr>
            </w:pPr>
            <w:r w:rsidRPr="00683063">
              <w:rPr>
                <w:rFonts w:asciiTheme="minorHAnsi" w:hAnsiTheme="minorHAnsi"/>
              </w:rPr>
              <w:t>Υποστήριξη στην συμφωνία  όλων των λογαριασμών  γενικής λογιστικής  συνολικά και ανά έργο</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uppressAutoHyphens/>
              <w:spacing w:after="120" w:line="360" w:lineRule="auto"/>
              <w:ind w:right="709"/>
              <w:contextualSpacing/>
              <w:jc w:val="both"/>
              <w:rPr>
                <w:rFonts w:asciiTheme="minorHAnsi" w:hAnsiTheme="minorHAnsi"/>
              </w:rPr>
            </w:pPr>
            <w:r w:rsidRPr="00683063">
              <w:rPr>
                <w:rFonts w:asciiTheme="minorHAnsi" w:hAnsiTheme="minorHAnsi"/>
              </w:rPr>
              <w:t>Υποστήριξη στην συμφωνία τραπεζικών λογαριασμών ανά έργο</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uppressAutoHyphens/>
              <w:spacing w:after="120" w:line="360" w:lineRule="auto"/>
              <w:ind w:right="709"/>
              <w:contextualSpacing/>
              <w:jc w:val="both"/>
              <w:rPr>
                <w:rFonts w:asciiTheme="minorHAnsi" w:hAnsiTheme="minorHAnsi"/>
              </w:rPr>
            </w:pPr>
            <w:r w:rsidRPr="00683063">
              <w:rPr>
                <w:rFonts w:asciiTheme="minorHAnsi" w:hAnsiTheme="minorHAnsi"/>
              </w:rPr>
              <w:t>Υποστήριξη στην συμφωνία πελατών, προμηθευτών ανά έργο</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uppressAutoHyphens/>
              <w:spacing w:after="120" w:line="360" w:lineRule="auto"/>
              <w:ind w:right="709"/>
              <w:contextualSpacing/>
              <w:jc w:val="both"/>
              <w:rPr>
                <w:rFonts w:asciiTheme="minorHAnsi" w:hAnsiTheme="minorHAnsi"/>
              </w:rPr>
            </w:pPr>
            <w:r w:rsidRPr="00683063">
              <w:rPr>
                <w:rFonts w:asciiTheme="minorHAnsi" w:hAnsiTheme="minorHAnsi"/>
              </w:rPr>
              <w:t xml:space="preserve">Υποστήριξη στην παρακολούθηση Παγίων στοιχείων (αποσβέσεις, </w:t>
            </w:r>
            <w:proofErr w:type="spellStart"/>
            <w:r w:rsidRPr="00683063">
              <w:rPr>
                <w:rFonts w:asciiTheme="minorHAnsi" w:hAnsiTheme="minorHAnsi"/>
              </w:rPr>
              <w:t>απομειώσεις</w:t>
            </w:r>
            <w:proofErr w:type="spellEnd"/>
            <w:r w:rsidRPr="00683063">
              <w:rPr>
                <w:rFonts w:asciiTheme="minorHAnsi" w:hAnsiTheme="minorHAnsi"/>
              </w:rPr>
              <w:t xml:space="preserve">, αποσύρσεις </w:t>
            </w:r>
            <w:proofErr w:type="spellStart"/>
            <w:r w:rsidRPr="00683063">
              <w:rPr>
                <w:rFonts w:asciiTheme="minorHAnsi" w:hAnsiTheme="minorHAnsi"/>
              </w:rPr>
              <w:t>κλπ</w:t>
            </w:r>
            <w:proofErr w:type="spellEnd"/>
            <w:r w:rsidRPr="00683063">
              <w:rPr>
                <w:rFonts w:asciiTheme="minorHAnsi" w:hAnsiTheme="minorHAnsi"/>
              </w:rPr>
              <w:t>).</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uppressAutoHyphens/>
              <w:spacing w:after="120" w:line="360" w:lineRule="auto"/>
              <w:ind w:right="709"/>
              <w:contextualSpacing/>
              <w:jc w:val="both"/>
              <w:rPr>
                <w:rFonts w:asciiTheme="minorHAnsi" w:hAnsiTheme="minorHAnsi"/>
              </w:rPr>
            </w:pPr>
            <w:r w:rsidRPr="00683063">
              <w:rPr>
                <w:rFonts w:asciiTheme="minorHAnsi" w:hAnsiTheme="minorHAnsi"/>
              </w:rPr>
              <w:t>Υποστήριξη στον έλεγχο των μηνιαίων φόρων και λοιπών κρατήσεων ανά έργο</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pStyle w:val="ListParagraph"/>
              <w:shd w:val="clear" w:color="auto" w:fill="FFFFFF"/>
              <w:suppressAutoHyphens/>
              <w:spacing w:line="360" w:lineRule="auto"/>
              <w:ind w:left="22" w:right="709"/>
              <w:jc w:val="both"/>
              <w:rPr>
                <w:b/>
                <w:bCs/>
                <w:sz w:val="24"/>
                <w:szCs w:val="24"/>
                <w:bdr w:val="none" w:sz="0" w:space="0" w:color="auto" w:frame="1"/>
              </w:rPr>
            </w:pPr>
            <w:r w:rsidRPr="00683063">
              <w:rPr>
                <w:b/>
                <w:bCs/>
                <w:sz w:val="24"/>
                <w:szCs w:val="24"/>
                <w:bdr w:val="none" w:sz="0" w:space="0" w:color="auto" w:frame="1"/>
              </w:rPr>
              <w:t xml:space="preserve">Δ.  </w:t>
            </w:r>
            <w:proofErr w:type="spellStart"/>
            <w:r w:rsidRPr="00683063">
              <w:rPr>
                <w:b/>
                <w:bCs/>
                <w:sz w:val="24"/>
                <w:szCs w:val="24"/>
                <w:bdr w:val="none" w:sz="0" w:space="0" w:color="auto" w:frame="1"/>
              </w:rPr>
              <w:t>Yποστήριξη</w:t>
            </w:r>
            <w:proofErr w:type="spellEnd"/>
            <w:r w:rsidRPr="00683063">
              <w:rPr>
                <w:b/>
                <w:bCs/>
                <w:sz w:val="24"/>
                <w:szCs w:val="24"/>
                <w:bdr w:val="none" w:sz="0" w:space="0" w:color="auto" w:frame="1"/>
              </w:rPr>
              <w:t xml:space="preserve"> στη διαχείριση δαπανών, εσόδων, παραγγελιών καθώς και στην ταμειακή και τραπεζική παρακολούθηση</w:t>
            </w:r>
          </w:p>
        </w:tc>
        <w:tc>
          <w:tcPr>
            <w:tcW w:w="1599" w:type="dxa"/>
          </w:tcPr>
          <w:p w:rsidR="002000F6" w:rsidRPr="00683063" w:rsidRDefault="002000F6" w:rsidP="00191735">
            <w:pPr>
              <w:pStyle w:val="BodyText"/>
              <w:spacing w:before="8"/>
              <w:jc w:val="center"/>
              <w:rPr>
                <w:b/>
                <w:sz w:val="28"/>
              </w:rPr>
            </w:pPr>
            <w:r w:rsidRPr="00683063">
              <w:rPr>
                <w:b/>
                <w:sz w:val="28"/>
              </w:rPr>
              <w:t>ΑΠΑΙΤΗΣΗ</w:t>
            </w:r>
          </w:p>
        </w:tc>
        <w:tc>
          <w:tcPr>
            <w:tcW w:w="2236" w:type="dxa"/>
          </w:tcPr>
          <w:p w:rsidR="002000F6" w:rsidRPr="00683063" w:rsidRDefault="002000F6" w:rsidP="00191735">
            <w:pPr>
              <w:pStyle w:val="BodyText"/>
              <w:spacing w:before="8"/>
              <w:jc w:val="center"/>
              <w:rPr>
                <w:b/>
                <w:sz w:val="28"/>
              </w:rPr>
            </w:pPr>
            <w:r w:rsidRPr="00683063">
              <w:rPr>
                <w:b/>
                <w:sz w:val="28"/>
              </w:rPr>
              <w:t>ΑΠΑΝΤΗΣΗ</w:t>
            </w:r>
          </w:p>
        </w:tc>
      </w:tr>
      <w:tr w:rsidR="002000F6" w:rsidRPr="00683063" w:rsidTr="002000F6">
        <w:tc>
          <w:tcPr>
            <w:tcW w:w="4461" w:type="dxa"/>
          </w:tcPr>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r w:rsidRPr="00683063">
              <w:rPr>
                <w:rFonts w:asciiTheme="minorHAnsi" w:hAnsiTheme="minorHAnsi"/>
                <w:bdr w:val="none" w:sz="0" w:space="0" w:color="auto" w:frame="1"/>
              </w:rPr>
              <w:t>Καταχωρήσεις παραστατικών δαπανών – παγίων στο πληροφοριακό σύστημα με μετασχηματισμό από τις απευθείας αναθέσεις και τους διαγωνισμούς</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r w:rsidRPr="00683063">
              <w:rPr>
                <w:rFonts w:asciiTheme="minorHAnsi" w:hAnsiTheme="minorHAnsi"/>
                <w:bdr w:val="none" w:sz="0" w:space="0" w:color="auto" w:frame="1"/>
              </w:rPr>
              <w:lastRenderedPageBreak/>
              <w:t>Υποστήριξη στην καταχώρηση απευθείας αναθέσεων έργων και παραγγελιών στο πληροφοριακό σύστημα</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r w:rsidRPr="00683063">
              <w:rPr>
                <w:rFonts w:asciiTheme="minorHAnsi" w:hAnsiTheme="minorHAnsi"/>
                <w:bdr w:val="none" w:sz="0" w:space="0" w:color="auto" w:frame="1"/>
              </w:rPr>
              <w:t>Υποστήριξη στην έκδοση τιμολογίων στους συναλλασσόμενους (ιδιώτες ιατρούς, νοσοκομεία, στρατολογικές υπηρεσίες) που προσέρχονται στο ΕΙΠ για την προμήθεια εμβολίων.</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r w:rsidRPr="00683063">
              <w:rPr>
                <w:rFonts w:asciiTheme="minorHAnsi" w:hAnsiTheme="minorHAnsi"/>
                <w:bdr w:val="none" w:sz="0" w:space="0" w:color="auto" w:frame="1"/>
              </w:rPr>
              <w:t>Υποστήριξη στην καταχώρηση επιχορηγήσεων, δωρεών και κάθε τύπου χρηματοδότησης στους τραπεζικούς λογαριασμούς και έκδοση των αντίστοιχων παραστατικών</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r w:rsidRPr="00683063">
              <w:rPr>
                <w:rFonts w:asciiTheme="minorHAnsi" w:hAnsiTheme="minorHAnsi"/>
                <w:bdr w:val="none" w:sz="0" w:space="0" w:color="auto" w:frame="1"/>
              </w:rPr>
              <w:t>Υποστήριξη στην μηνιαία καταχώρηση ημερήσιων εσόδων πελατών λιανικής Διάγνωσης, συμφωνία με το LIS, καταγραφή και παρακολούθηση των ημερήσιων εισπράξεων</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r w:rsidRPr="00683063">
              <w:rPr>
                <w:rFonts w:asciiTheme="minorHAnsi" w:hAnsiTheme="minorHAnsi"/>
                <w:bdr w:val="none" w:sz="0" w:space="0" w:color="auto" w:frame="1"/>
              </w:rPr>
              <w:t>Υποστήριξη στην παρακολούθηση και καταχώρηση όλων των εισερχόμενων εμβασμάτων των πελατών (δημοσίου, πελάτες λιανικής εμβολίων, διάγνωσης, ποιοτικού ελέγχου) στους τραπεζικούς λογαριασμούς και αντιστοίχισή τους με τα σχετιζόμενα παραστατικά που έχουν εκδοθεί</w:t>
            </w: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rPr>
          <w:trHeight w:val="764"/>
        </w:trPr>
        <w:tc>
          <w:tcPr>
            <w:tcW w:w="4461" w:type="dxa"/>
          </w:tcPr>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r w:rsidRPr="00683063">
              <w:rPr>
                <w:rFonts w:asciiTheme="minorHAnsi" w:hAnsiTheme="minorHAnsi"/>
                <w:bdr w:val="none" w:sz="0" w:space="0" w:color="auto" w:frame="1"/>
              </w:rPr>
              <w:t>Υποστήριξη στην παραλαβή ηλεκτρονικών τιμολογίων μέσω ΕΔΗΤ</w:t>
            </w:r>
          </w:p>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r w:rsidRPr="00683063">
              <w:rPr>
                <w:rFonts w:asciiTheme="minorHAnsi" w:hAnsiTheme="minorHAnsi"/>
                <w:bdr w:val="none" w:sz="0" w:space="0" w:color="auto" w:frame="1"/>
              </w:rPr>
              <w:t>Υποστήριξη στον έλεγχο παραστατικών στην πλατφόρμα της ΑΑΔΕ «MY DATA»</w:t>
            </w:r>
          </w:p>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hd w:val="clear" w:color="auto" w:fill="FFFFFF"/>
              <w:tabs>
                <w:tab w:val="left" w:pos="1095"/>
              </w:tabs>
              <w:suppressAutoHyphens/>
              <w:spacing w:line="360" w:lineRule="auto"/>
              <w:ind w:right="709"/>
              <w:contextualSpacing/>
              <w:jc w:val="both"/>
              <w:rPr>
                <w:rFonts w:asciiTheme="minorHAnsi" w:hAnsiTheme="minorHAnsi"/>
                <w:bdr w:val="none" w:sz="0" w:space="0" w:color="auto" w:frame="1"/>
              </w:rPr>
            </w:pPr>
            <w:r w:rsidRPr="00683063">
              <w:rPr>
                <w:rFonts w:asciiTheme="minorHAnsi" w:hAnsiTheme="minorHAnsi"/>
                <w:bdr w:val="none" w:sz="0" w:space="0" w:color="auto" w:frame="1"/>
              </w:rPr>
              <w:t>Υποστήριξη στην αποστολή αρχείου ΕΟΦ σχετικά με την κίνηση παρτίδων εμβολίων μέσω ERP</w:t>
            </w:r>
          </w:p>
          <w:p w:rsidR="002000F6" w:rsidRPr="00683063" w:rsidRDefault="002000F6" w:rsidP="00191735">
            <w:pPr>
              <w:shd w:val="clear" w:color="auto" w:fill="FFFFFF"/>
              <w:tabs>
                <w:tab w:val="left" w:pos="1095"/>
              </w:tabs>
              <w:suppressAutoHyphens/>
              <w:spacing w:line="360" w:lineRule="auto"/>
              <w:ind w:right="709"/>
              <w:contextualSpacing/>
              <w:jc w:val="both"/>
              <w:rPr>
                <w:rFonts w:asciiTheme="minorHAnsi" w:hAnsiTheme="minorHAnsi"/>
                <w:bdr w:val="none" w:sz="0" w:space="0" w:color="auto" w:frame="1"/>
              </w:rPr>
            </w:pPr>
          </w:p>
        </w:tc>
        <w:tc>
          <w:tcPr>
            <w:tcW w:w="1599" w:type="dxa"/>
          </w:tcPr>
          <w:p w:rsidR="002000F6" w:rsidRPr="00683063" w:rsidRDefault="002000F6" w:rsidP="00191735">
            <w:pPr>
              <w:pStyle w:val="BodyText"/>
              <w:spacing w:before="8"/>
              <w:jc w:val="center"/>
              <w:rPr>
                <w:bCs/>
                <w:sz w:val="28"/>
              </w:rPr>
            </w:pPr>
            <w:r w:rsidRPr="00683063">
              <w:rPr>
                <w:bCs/>
                <w:sz w:val="28"/>
              </w:rPr>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r w:rsidRPr="00683063">
              <w:rPr>
                <w:rFonts w:asciiTheme="minorHAnsi" w:hAnsiTheme="minorHAnsi"/>
                <w:bdr w:val="none" w:sz="0" w:space="0" w:color="auto" w:frame="1"/>
              </w:rPr>
              <w:t xml:space="preserve">Υποστήριξη στην Τήρηση ηλεκτρονικού </w:t>
            </w:r>
            <w:r w:rsidRPr="00683063">
              <w:rPr>
                <w:rFonts w:asciiTheme="minorHAnsi" w:hAnsiTheme="minorHAnsi"/>
                <w:bdr w:val="none" w:sz="0" w:space="0" w:color="auto" w:frame="1"/>
              </w:rPr>
              <w:lastRenderedPageBreak/>
              <w:t>φακέλου ανά έργο</w:t>
            </w:r>
          </w:p>
        </w:tc>
        <w:tc>
          <w:tcPr>
            <w:tcW w:w="1599" w:type="dxa"/>
          </w:tcPr>
          <w:p w:rsidR="002000F6" w:rsidRPr="00683063" w:rsidRDefault="002000F6" w:rsidP="00191735">
            <w:pPr>
              <w:pStyle w:val="BodyText"/>
              <w:spacing w:before="8"/>
              <w:jc w:val="center"/>
              <w:rPr>
                <w:bCs/>
                <w:sz w:val="28"/>
              </w:rPr>
            </w:pPr>
            <w:r w:rsidRPr="00683063">
              <w:rPr>
                <w:bCs/>
                <w:sz w:val="28"/>
              </w:rPr>
              <w:lastRenderedPageBreak/>
              <w:t>ΝΑΙ</w:t>
            </w:r>
          </w:p>
        </w:tc>
        <w:tc>
          <w:tcPr>
            <w:tcW w:w="2236" w:type="dxa"/>
          </w:tcPr>
          <w:p w:rsidR="002000F6" w:rsidRPr="00683063" w:rsidRDefault="002000F6" w:rsidP="00191735">
            <w:pPr>
              <w:pStyle w:val="BodyText"/>
              <w:spacing w:before="8"/>
              <w:jc w:val="center"/>
              <w:rPr>
                <w:b/>
                <w:sz w:val="28"/>
              </w:rPr>
            </w:pPr>
          </w:p>
        </w:tc>
      </w:tr>
      <w:tr w:rsidR="002000F6" w:rsidRPr="00683063" w:rsidTr="002000F6">
        <w:tc>
          <w:tcPr>
            <w:tcW w:w="4461" w:type="dxa"/>
          </w:tcPr>
          <w:p w:rsidR="002000F6" w:rsidRPr="00683063" w:rsidRDefault="002000F6" w:rsidP="00191735">
            <w:pPr>
              <w:shd w:val="clear" w:color="auto" w:fill="FFFFFF"/>
              <w:tabs>
                <w:tab w:val="left" w:pos="1418"/>
              </w:tabs>
              <w:suppressAutoHyphens/>
              <w:spacing w:line="360" w:lineRule="auto"/>
              <w:ind w:right="709"/>
              <w:contextualSpacing/>
              <w:jc w:val="both"/>
              <w:rPr>
                <w:rFonts w:asciiTheme="minorHAnsi" w:hAnsiTheme="minorHAnsi"/>
                <w:bdr w:val="none" w:sz="0" w:space="0" w:color="auto" w:frame="1"/>
              </w:rPr>
            </w:pPr>
          </w:p>
        </w:tc>
        <w:tc>
          <w:tcPr>
            <w:tcW w:w="1599" w:type="dxa"/>
          </w:tcPr>
          <w:p w:rsidR="002000F6" w:rsidRPr="00683063" w:rsidRDefault="002000F6" w:rsidP="00191735">
            <w:pPr>
              <w:pStyle w:val="BodyText"/>
              <w:spacing w:before="8"/>
              <w:jc w:val="center"/>
              <w:rPr>
                <w:b/>
                <w:sz w:val="28"/>
              </w:rPr>
            </w:pPr>
          </w:p>
        </w:tc>
        <w:tc>
          <w:tcPr>
            <w:tcW w:w="2236" w:type="dxa"/>
          </w:tcPr>
          <w:p w:rsidR="002000F6" w:rsidRPr="00683063" w:rsidRDefault="002000F6" w:rsidP="00191735">
            <w:pPr>
              <w:pStyle w:val="BodyText"/>
              <w:spacing w:before="8"/>
              <w:jc w:val="center"/>
              <w:rPr>
                <w:b/>
                <w:sz w:val="28"/>
              </w:rPr>
            </w:pPr>
          </w:p>
        </w:tc>
      </w:tr>
    </w:tbl>
    <w:p w:rsidR="002000F6" w:rsidRDefault="002000F6"/>
    <w:sectPr w:rsidR="002000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04331"/>
    <w:multiLevelType w:val="hybridMultilevel"/>
    <w:tmpl w:val="5B5AE7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F6"/>
    <w:rsid w:val="002000F6"/>
    <w:rsid w:val="00204EC6"/>
    <w:rsid w:val="00371539"/>
    <w:rsid w:val="007B4C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C706E-C790-4241-B974-344640F1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F6"/>
    <w:pPr>
      <w:widowControl w:val="0"/>
      <w:autoSpaceDE w:val="0"/>
      <w:autoSpaceDN w:val="0"/>
      <w:spacing w:after="0" w:line="240" w:lineRule="auto"/>
    </w:pPr>
    <w:rPr>
      <w:rFonts w:ascii="Calibri" w:eastAsia="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rsid w:val="007B4CBE"/>
    <w:pPr>
      <w:suppressAutoHyphens/>
      <w:ind w:left="1540"/>
    </w:pPr>
    <w:rPr>
      <w:rFonts w:eastAsia="Times New Roman"/>
      <w:sz w:val="18"/>
      <w:szCs w:val="18"/>
      <w:lang w:val="en-GB" w:eastAsia="zh-CN"/>
    </w:rPr>
  </w:style>
  <w:style w:type="paragraph" w:styleId="BodyText">
    <w:name w:val="Body Text"/>
    <w:basedOn w:val="Normal"/>
    <w:link w:val="BodyTextChar"/>
    <w:uiPriority w:val="1"/>
    <w:qFormat/>
    <w:rsid w:val="002000F6"/>
  </w:style>
  <w:style w:type="character" w:customStyle="1" w:styleId="BodyTextChar">
    <w:name w:val="Body Text Char"/>
    <w:basedOn w:val="DefaultParagraphFont"/>
    <w:link w:val="BodyText"/>
    <w:uiPriority w:val="1"/>
    <w:rsid w:val="002000F6"/>
    <w:rPr>
      <w:rFonts w:ascii="Calibri" w:eastAsia="Calibri" w:hAnsi="Calibri" w:cs="Calibri"/>
      <w:lang w:eastAsia="en-US"/>
    </w:rPr>
  </w:style>
  <w:style w:type="paragraph" w:styleId="ListParagraph">
    <w:name w:val="List Paragraph"/>
    <w:aliases w:val="Kommentar,Bullet List,FooterText,numbered,Paragraphe de liste1,lp1,Diligence Check,Bullet2,Bullet21,bl1,Bullet22,Bullet23,Bullet211,Bullet24,Bullet25,Bullet26,Bullet27,bl11,Bullet212,Bullet28,bl12,Bullet213,Bullet29,bl13,Bullet214,lp11"/>
    <w:basedOn w:val="Normal"/>
    <w:link w:val="ListParagraphChar"/>
    <w:uiPriority w:val="34"/>
    <w:qFormat/>
    <w:rsid w:val="002000F6"/>
    <w:pPr>
      <w:ind w:left="272"/>
    </w:pPr>
  </w:style>
  <w:style w:type="character" w:customStyle="1" w:styleId="ListParagraphChar">
    <w:name w:val="List Paragraph Char"/>
    <w:aliases w:val="Kommentar Char,Bullet List Char,FooterText Char,numbered Char,Paragraphe de liste1 Char,lp1 Char,Diligence Check Char,Bullet2 Char,Bullet21 Char,bl1 Char,Bullet22 Char,Bullet23 Char,Bullet211 Char,Bullet24 Char,Bullet25 Char"/>
    <w:link w:val="ListParagraph"/>
    <w:uiPriority w:val="34"/>
    <w:qFormat/>
    <w:locked/>
    <w:rsid w:val="002000F6"/>
    <w:rPr>
      <w:rFonts w:ascii="Calibri" w:eastAsia="Calibri" w:hAnsi="Calibri" w:cs="Calibri"/>
      <w:lang w:eastAsia="en-US"/>
    </w:rPr>
  </w:style>
  <w:style w:type="table" w:styleId="TableGrid">
    <w:name w:val="Table Grid"/>
    <w:basedOn w:val="TableNormal"/>
    <w:uiPriority w:val="39"/>
    <w:rsid w:val="002000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00F6"/>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717</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Μαρία Αποστολάκη</cp:lastModifiedBy>
  <cp:revision>2</cp:revision>
  <dcterms:created xsi:type="dcterms:W3CDTF">2026-05-04T10:46:00Z</dcterms:created>
  <dcterms:modified xsi:type="dcterms:W3CDTF">2026-05-04T10:46:00Z</dcterms:modified>
</cp:coreProperties>
</file>