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AC" w:rsidRDefault="00101BAC" w:rsidP="00101BAC">
      <w:pPr>
        <w:pStyle w:val="normalwithoutspacing"/>
        <w:rPr>
          <w:rFonts w:asciiTheme="minorHAnsi" w:hAnsiTheme="minorHAnsi"/>
          <w:b/>
          <w:szCs w:val="22"/>
          <w:u w:val="single"/>
        </w:rPr>
      </w:pPr>
      <w:r w:rsidRPr="00C53907">
        <w:rPr>
          <w:rFonts w:asciiTheme="minorHAnsi" w:hAnsiTheme="minorHAnsi"/>
          <w:b/>
          <w:szCs w:val="22"/>
          <w:u w:val="single"/>
        </w:rPr>
        <w:t>ΦΥΛΛΟ ΣΥΜΜΟΡΦΩΣΗΣ</w:t>
      </w:r>
    </w:p>
    <w:p w:rsidR="00101BAC" w:rsidRDefault="00101BAC" w:rsidP="00101BAC">
      <w:pPr>
        <w:pStyle w:val="normalwithoutspacing"/>
        <w:rPr>
          <w:rFonts w:asciiTheme="minorHAnsi" w:hAnsiTheme="minorHAnsi"/>
          <w:b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925"/>
        <w:gridCol w:w="922"/>
        <w:gridCol w:w="960"/>
        <w:gridCol w:w="1933"/>
      </w:tblGrid>
      <w:tr w:rsidR="00101BAC" w:rsidRPr="00202091" w:rsidTr="00FA0591">
        <w:trPr>
          <w:trHeight w:val="975"/>
          <w:jc w:val="center"/>
        </w:trPr>
        <w:tc>
          <w:tcPr>
            <w:tcW w:w="259" w:type="pct"/>
            <w:shd w:val="clear" w:color="000000" w:fill="D0CECE"/>
            <w:noWrap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szCs w:val="22"/>
                <w:lang w:val="el-GR" w:eastAsia="en-GB"/>
              </w:rPr>
            </w:pPr>
            <w:bookmarkStart w:id="0" w:name="_GoBack"/>
            <w:r w:rsidRPr="00202091">
              <w:rPr>
                <w:rFonts w:asciiTheme="minorHAnsi" w:hAnsiTheme="minorHAnsi" w:cstheme="minorHAnsi"/>
                <w:szCs w:val="22"/>
                <w:lang w:val="el-GR" w:eastAsia="en-GB"/>
              </w:rPr>
              <w:t>Α/Α</w:t>
            </w:r>
          </w:p>
        </w:tc>
        <w:tc>
          <w:tcPr>
            <w:tcW w:w="2385" w:type="pct"/>
            <w:shd w:val="clear" w:color="000000" w:fill="D0CECE"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n-GB"/>
              </w:rPr>
            </w:pPr>
            <w:r w:rsidRPr="00202091">
              <w:rPr>
                <w:rFonts w:asciiTheme="minorHAnsi" w:hAnsiTheme="minorHAnsi" w:cstheme="minorHAnsi"/>
                <w:b/>
                <w:bCs/>
                <w:szCs w:val="22"/>
                <w:lang w:val="el-GR" w:eastAsia="en-GB"/>
              </w:rPr>
              <w:t>ΠΕΡΙΓΡΑΦΗ</w:t>
            </w:r>
          </w:p>
        </w:tc>
        <w:tc>
          <w:tcPr>
            <w:tcW w:w="575" w:type="pct"/>
            <w:shd w:val="clear" w:color="000000" w:fill="D0CECE"/>
            <w:vAlign w:val="center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 w:eastAsia="en-GB"/>
              </w:rPr>
            </w:pPr>
            <w:r w:rsidRPr="00202091">
              <w:rPr>
                <w:rFonts w:asciiTheme="minorHAnsi" w:hAnsiTheme="minorHAnsi" w:cstheme="minorHAnsi"/>
                <w:b/>
                <w:bCs/>
                <w:szCs w:val="22"/>
                <w:lang w:val="en-US" w:eastAsia="en-GB"/>
              </w:rPr>
              <w:t>NAI</w:t>
            </w:r>
          </w:p>
        </w:tc>
        <w:tc>
          <w:tcPr>
            <w:tcW w:w="597" w:type="pct"/>
            <w:shd w:val="clear" w:color="000000" w:fill="D0CECE"/>
            <w:vAlign w:val="center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 w:eastAsia="en-GB"/>
              </w:rPr>
            </w:pPr>
            <w:r w:rsidRPr="00202091">
              <w:rPr>
                <w:rFonts w:asciiTheme="minorHAnsi" w:hAnsiTheme="minorHAnsi" w:cstheme="minorHAnsi"/>
                <w:b/>
                <w:bCs/>
                <w:szCs w:val="22"/>
                <w:lang w:val="en-US" w:eastAsia="en-GB"/>
              </w:rPr>
              <w:t>OXI</w:t>
            </w:r>
          </w:p>
        </w:tc>
        <w:tc>
          <w:tcPr>
            <w:tcW w:w="1184" w:type="pct"/>
            <w:shd w:val="clear" w:color="000000" w:fill="D0CECE"/>
            <w:vAlign w:val="center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 w:eastAsia="en-GB"/>
              </w:rPr>
            </w:pPr>
            <w:r w:rsidRPr="00202091">
              <w:rPr>
                <w:rFonts w:asciiTheme="minorHAnsi" w:hAnsiTheme="minorHAnsi" w:cstheme="minorHAnsi"/>
                <w:b/>
                <w:bCs/>
                <w:szCs w:val="22"/>
                <w:lang w:val="el-GR" w:eastAsia="en-GB"/>
              </w:rPr>
              <w:t>ΠΑΡΑΠΟΜΠΗ</w:t>
            </w:r>
          </w:p>
        </w:tc>
      </w:tr>
      <w:tr w:rsidR="00101BAC" w:rsidRPr="00202091" w:rsidTr="00FA0591">
        <w:trPr>
          <w:trHeight w:val="2415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</w:t>
            </w:r>
          </w:p>
        </w:tc>
        <w:tc>
          <w:tcPr>
            <w:tcW w:w="2385" w:type="pct"/>
            <w:shd w:val="clear" w:color="auto" w:fill="auto"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Αναβάθμιση του λογισμικού ανάλυσης ψηφιακής εικόνας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Imaris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, με αγορά της εφαρμογής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Imaris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Filament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Tracer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. Η συγκεκριμένη εφαρμογή επιτρέπει αυτοματοποιημένη ανίχνευση νευρώνων και άλλων νηματοειδών δομών/κυττάρων σε 3D και 4D σε συνδυασμό με ποσοτικές αναλύσεις.</w:t>
            </w:r>
          </w:p>
        </w:tc>
        <w:tc>
          <w:tcPr>
            <w:tcW w:w="575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597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1184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</w:tr>
      <w:tr w:rsidR="00101BAC" w:rsidRPr="00202091" w:rsidTr="00FA0591">
        <w:trPr>
          <w:trHeight w:val="3855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2</w:t>
            </w:r>
          </w:p>
        </w:tc>
        <w:tc>
          <w:tcPr>
            <w:tcW w:w="2385" w:type="pct"/>
            <w:shd w:val="clear" w:color="auto" w:fill="auto"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Ανταλλακτικό φίλτρο που απορροφά την υγρασία στο εσωτερικό του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Mai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Tai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DeepSee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laser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του SP8-MP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Multiphoton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Confocal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εξασφαλίζοντας ότι η υγρασία στο εσωτερικό θα είναι σε χαμηλά επίπεδα (&lt;10%). Το φίλτρο αποτελείται από ενεργά υλικά φιλτραρίσματος και ένα πλέγμα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sub-micron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φίλτρων που μειώνουν τη σχετική υγρασία και διαρκώς φιλτράρουν τον αέρα που κυκλοφορεί μέσα στο εσωτερικό του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Mai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Tai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DeepSee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laser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.</w:t>
            </w:r>
          </w:p>
        </w:tc>
        <w:tc>
          <w:tcPr>
            <w:tcW w:w="575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597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1184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</w:tr>
      <w:tr w:rsidR="00101BAC" w:rsidRPr="00202091" w:rsidTr="00FA0591">
        <w:trPr>
          <w:trHeight w:val="1145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3</w:t>
            </w:r>
          </w:p>
        </w:tc>
        <w:tc>
          <w:tcPr>
            <w:tcW w:w="2385" w:type="pct"/>
            <w:shd w:val="clear" w:color="auto" w:fill="auto"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Μαύρο μελάνι κατάλληλο για εκτυπωτή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Samsung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CLP-510. Δυνατότητας εκτύπωσης 7000 σελίδων.</w:t>
            </w:r>
          </w:p>
        </w:tc>
        <w:tc>
          <w:tcPr>
            <w:tcW w:w="575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597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1184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</w:tr>
      <w:tr w:rsidR="00101BAC" w:rsidRPr="00202091" w:rsidTr="00FA0591">
        <w:trPr>
          <w:trHeight w:val="1215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</w:t>
            </w:r>
          </w:p>
        </w:tc>
        <w:tc>
          <w:tcPr>
            <w:tcW w:w="2385" w:type="pct"/>
            <w:shd w:val="clear" w:color="000000" w:fill="FFFFFF"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Εσωτερικός σκληρός δίσκος ηλεκτρονικού υπολογιστή χωρητικότητας 2TB, διάσταση 3,5'', τύπος διασύνδεσης δίσκου: SATA III</w:t>
            </w:r>
          </w:p>
        </w:tc>
        <w:tc>
          <w:tcPr>
            <w:tcW w:w="575" w:type="pct"/>
            <w:shd w:val="clear" w:color="000000" w:fill="FFFFFF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597" w:type="pct"/>
            <w:shd w:val="clear" w:color="000000" w:fill="FFFFFF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1184" w:type="pct"/>
            <w:shd w:val="clear" w:color="000000" w:fill="FFFFFF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</w:tr>
      <w:tr w:rsidR="00101BAC" w:rsidRPr="00202091" w:rsidTr="00FA0591">
        <w:trPr>
          <w:trHeight w:val="870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5</w:t>
            </w:r>
          </w:p>
        </w:tc>
        <w:tc>
          <w:tcPr>
            <w:tcW w:w="2385" w:type="pct"/>
            <w:shd w:val="clear" w:color="auto" w:fill="auto"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Δευτερογενές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αντίσωμα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έναντι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των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IgG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(H + L)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κουνελιού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,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παραχθέν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σε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όνο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, highly cross-adsorbed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ωστε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να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μην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αναγνωρίζει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αντισώματα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από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βοειδή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,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κοτόπουλο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,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κατστίκα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, Guinea pig,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αλογο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,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ανθρωπο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,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ποντικό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,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αρουραίο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,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πρόβατο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, Syrian hamster,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σημασμένο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με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φρορισμογόνο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ουσία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με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max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λ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εκπομπής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543 nm.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Να δίνει έντονο σήμα, να είναι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lastRenderedPageBreak/>
              <w:t>φωτοσταθερό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, διαλυτό στο νερό και να μην επηρεάζεται από το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pH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του διαλύματος.</w:t>
            </w:r>
          </w:p>
        </w:tc>
        <w:tc>
          <w:tcPr>
            <w:tcW w:w="575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597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1184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</w:tr>
      <w:tr w:rsidR="00101BAC" w:rsidRPr="00202091" w:rsidTr="00FA0591">
        <w:trPr>
          <w:trHeight w:val="85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lastRenderedPageBreak/>
              <w:t>6</w:t>
            </w:r>
          </w:p>
        </w:tc>
        <w:tc>
          <w:tcPr>
            <w:tcW w:w="2385" w:type="pct"/>
            <w:shd w:val="clear" w:color="auto" w:fill="auto"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Αντιδραστήριο πρόσδεσης με υψηλή συγγένεια σε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πολυμερισμένη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ακτίνη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(F-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actin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). Συζευγμένη στην φωτεινή,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φωτοσταθερή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φθορισμογόνο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ουσία CF 633.</w:t>
            </w:r>
          </w:p>
        </w:tc>
        <w:tc>
          <w:tcPr>
            <w:tcW w:w="575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597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1184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</w:tr>
      <w:tr w:rsidR="00101BAC" w:rsidRPr="00202091" w:rsidTr="00FA0591">
        <w:trPr>
          <w:trHeight w:val="2175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7</w:t>
            </w:r>
          </w:p>
        </w:tc>
        <w:tc>
          <w:tcPr>
            <w:tcW w:w="2385" w:type="pct"/>
            <w:shd w:val="clear" w:color="auto" w:fill="auto"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Λεκτίνη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Wheat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germ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agglutinin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(WGA) συζευγμένη με φθορίζουσα ουσία που εκπέμπει σε μήκος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κύμματος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max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Exc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633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nm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. Για ειδική χρώση της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κυτταροπλασματικής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μεμβράνης. Συνδέεται ειδικά σε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sialic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acid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και N-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acetylglucosaminyl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σάκχαρα.</w:t>
            </w:r>
          </w:p>
        </w:tc>
        <w:tc>
          <w:tcPr>
            <w:tcW w:w="575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597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1184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</w:tr>
      <w:tr w:rsidR="00101BAC" w:rsidRPr="00202091" w:rsidTr="00FA0591">
        <w:trPr>
          <w:trHeight w:val="729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8</w:t>
            </w:r>
          </w:p>
        </w:tc>
        <w:tc>
          <w:tcPr>
            <w:tcW w:w="2385" w:type="pct"/>
            <w:shd w:val="clear" w:color="auto" w:fill="auto"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Δεξτράνη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, μοριακού βάρους 10000 D συζευγμένη με τη χρωστική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Texas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Red και με δυνατότητα σταθερής σύνδεσης (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fixation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) μέσω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λυσίνης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.</w:t>
            </w:r>
          </w:p>
        </w:tc>
        <w:tc>
          <w:tcPr>
            <w:tcW w:w="575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597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1184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</w:tr>
      <w:tr w:rsidR="00101BAC" w:rsidRPr="00202091" w:rsidTr="00FA0591">
        <w:trPr>
          <w:trHeight w:val="1935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9</w:t>
            </w:r>
          </w:p>
        </w:tc>
        <w:tc>
          <w:tcPr>
            <w:tcW w:w="2385" w:type="pct"/>
            <w:shd w:val="clear" w:color="auto" w:fill="auto"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Λεκτίνη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Concanavalin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A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συζευγμένη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με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Alexa Fluor® 647 (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Ε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x/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Em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 xml:space="preserve"> max ~650/668 nm). </w:t>
            </w: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Για ειδική χρώση της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κυτταροπλασματικής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μεμβράνης. Συνδέεται ειδικά σε a-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mannopyranosyl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and a-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glucopyranosyl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σάκχαρα.</w:t>
            </w:r>
          </w:p>
        </w:tc>
        <w:tc>
          <w:tcPr>
            <w:tcW w:w="575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597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1184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</w:tr>
      <w:tr w:rsidR="00101BAC" w:rsidRPr="00202091" w:rsidTr="00FA0591">
        <w:trPr>
          <w:trHeight w:val="975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10</w:t>
            </w:r>
          </w:p>
        </w:tc>
        <w:tc>
          <w:tcPr>
            <w:tcW w:w="2385" w:type="pct"/>
            <w:shd w:val="clear" w:color="auto" w:fill="auto"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Λιπίδιο BODIPY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Ceramide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σημασμένο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με την χρωστική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Texas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Red για χρώση του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Golgi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σε ζωντανά κύτταρα.</w:t>
            </w:r>
          </w:p>
        </w:tc>
        <w:tc>
          <w:tcPr>
            <w:tcW w:w="575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597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1184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</w:tr>
      <w:tr w:rsidR="00101BAC" w:rsidRPr="00202091" w:rsidTr="00FA0591">
        <w:trPr>
          <w:trHeight w:val="1215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11</w:t>
            </w:r>
          </w:p>
        </w:tc>
        <w:tc>
          <w:tcPr>
            <w:tcW w:w="2385" w:type="pct"/>
            <w:shd w:val="clear" w:color="auto" w:fill="auto"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Πολυκλωνικό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αντίσωμα από κουνέλι έναντι της πρωτεΐνης GST. Κατάλληλο για Western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Blot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και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ανοσοκατακρίμνηση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.</w:t>
            </w:r>
          </w:p>
        </w:tc>
        <w:tc>
          <w:tcPr>
            <w:tcW w:w="575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597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1184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</w:tr>
      <w:tr w:rsidR="00101BAC" w:rsidRPr="00202091" w:rsidTr="00FA0591">
        <w:trPr>
          <w:trHeight w:val="1695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12</w:t>
            </w:r>
          </w:p>
        </w:tc>
        <w:tc>
          <w:tcPr>
            <w:tcW w:w="2385" w:type="pct"/>
            <w:shd w:val="clear" w:color="auto" w:fill="auto"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Κάνιστρο απορρόφησης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Αλοθάνης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από ενεργοποιημένο άνθρακα. Βάρος 1200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gr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. Να επιτρέπει τη ροή αέρα με ρυθμό 60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lt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/λεπτό και αντίσταση ροής όχι μεγαλύτερη από 2.0 cmH2O. 6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pcs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/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pack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.</w:t>
            </w:r>
          </w:p>
        </w:tc>
        <w:tc>
          <w:tcPr>
            <w:tcW w:w="575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597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1184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</w:tr>
      <w:tr w:rsidR="00101BAC" w:rsidRPr="00202091" w:rsidTr="00FA0591">
        <w:trPr>
          <w:trHeight w:val="975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13</w:t>
            </w:r>
          </w:p>
        </w:tc>
        <w:tc>
          <w:tcPr>
            <w:tcW w:w="2385" w:type="pct"/>
            <w:shd w:val="clear" w:color="auto" w:fill="auto"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100% αέριο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σεβοφλουράνιο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για κτηνιατρική χρήση σε πλαστική, σκούρου χρώματος φιάλη των 250ml.</w:t>
            </w:r>
          </w:p>
        </w:tc>
        <w:tc>
          <w:tcPr>
            <w:tcW w:w="575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597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1184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</w:tr>
      <w:tr w:rsidR="00101BAC" w:rsidRPr="00202091" w:rsidTr="00FA0591">
        <w:trPr>
          <w:trHeight w:val="2895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lastRenderedPageBreak/>
              <w:t>14</w:t>
            </w:r>
          </w:p>
        </w:tc>
        <w:tc>
          <w:tcPr>
            <w:tcW w:w="2385" w:type="pct"/>
            <w:shd w:val="clear" w:color="auto" w:fill="auto"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Παραφορμαλδεΰδη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σε στερεή μορφή, και συγκεκριμένα σε μορφή μικρών λευκών σφαιριδίων, με καθαρότητα ≥ 94% στην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τιτλοδότηση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με χρήση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HCl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. Μοριακό βάρος μονομερούς: 30,03. Να είναι άχρωμο και καθαρό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εως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ελαφρώς θολό σε διάλυμα συγκέντρωσης 10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mg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/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ml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, σε διαλύτη 1Μ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NaOH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. Συσκευασία του 1 κιλού.</w:t>
            </w:r>
          </w:p>
        </w:tc>
        <w:tc>
          <w:tcPr>
            <w:tcW w:w="575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597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1184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</w:tr>
      <w:tr w:rsidR="00101BAC" w:rsidRPr="00202091" w:rsidTr="00FA0591">
        <w:trPr>
          <w:trHeight w:val="4815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15</w:t>
            </w:r>
          </w:p>
        </w:tc>
        <w:tc>
          <w:tcPr>
            <w:tcW w:w="2385" w:type="pct"/>
            <w:shd w:val="clear" w:color="auto" w:fill="auto"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Αντικειμενοφόρες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πλάκες προσκόλλησης. Ιδανικές για την προσκόλληση τομών από ιστούς χωρίς την ανάγκη επιπλέον επίστρωσης για την ελαχιστοποίηση της απώλειας δειγμάτων κατά τη διάρκεια πειραμάτων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ιστοχημείας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. Κατασκευασμένες από υψηλής ποιότητας γυαλί με ομοιόμορφη επιφάνεια. Ηλεκτροστατικά θετικά φορτισμένες στη μία πλευρά για την πρόσδεση του ιστού, είτε είναι μονιμοποιημένος, είτε φρέσκος, είτε παγωμένος. Διαστάσεις: 75×25×1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mm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. Ειδική λευκή περιοχή για σήμανση. Οι γωνίες να έχουν λειανθεί κατά 90ο. 72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pcs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/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box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.</w:t>
            </w:r>
          </w:p>
        </w:tc>
        <w:tc>
          <w:tcPr>
            <w:tcW w:w="575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597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1184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</w:tr>
      <w:tr w:rsidR="00101BAC" w:rsidRPr="00202091" w:rsidTr="00FA0591">
        <w:trPr>
          <w:trHeight w:val="3615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16</w:t>
            </w:r>
          </w:p>
        </w:tc>
        <w:tc>
          <w:tcPr>
            <w:tcW w:w="2385" w:type="pct"/>
            <w:shd w:val="clear" w:color="auto" w:fill="auto"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Πολυκλωνικό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αντίσωμα παραχθέν σε κουνέλι που να αναγνωρίζει την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πρωτεϊνη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Zfp36l1 του ανθρώπου και του ποντικού. Να είναι κατάλληλο για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ανοσοκυτταροχημεία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(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Immunocytochemistry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),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ανοσοφθορισμό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(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Immunofluorescence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) και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western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blot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. Να έχει καθαριστεί με χρωματογραφία συγγένειας και να παρέχεται σε συγκέντρωση 1mg/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ml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σε διάλυμα PBS,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pH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7.4,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with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50%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glycerol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, 150mM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NaCl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.</w:t>
            </w:r>
          </w:p>
        </w:tc>
        <w:tc>
          <w:tcPr>
            <w:tcW w:w="575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597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1184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</w:tr>
      <w:tr w:rsidR="00101BAC" w:rsidRPr="00202091" w:rsidTr="00FA0591">
        <w:trPr>
          <w:trHeight w:val="3375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lastRenderedPageBreak/>
              <w:t>17</w:t>
            </w:r>
          </w:p>
        </w:tc>
        <w:tc>
          <w:tcPr>
            <w:tcW w:w="2385" w:type="pct"/>
            <w:shd w:val="clear" w:color="auto" w:fill="auto"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Δευτερογενές αντίσωμα έναντι των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IgG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(H + L) κουνελιού, παραχθέν σε όνο,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highly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cross-adsorbed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ωστε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να μην αναγνωρίζει αντισώματα από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βοειδή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, κοτόπουλο,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κατστίκα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,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Guinea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pig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, άλογο, άνθρωπο, ποντικό, αρουραίο, πρόβατο,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Syrian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hamster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,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σημασμένο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με τη φθορίζουσα χρωστική CF488A. Να δίνει έντονο σήμα, να είναι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φωτοσταθερό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, διαλυτό στο νερό και να μην επηρεάζεται από το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pH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του διαλύματος.</w:t>
            </w:r>
          </w:p>
        </w:tc>
        <w:tc>
          <w:tcPr>
            <w:tcW w:w="575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597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1184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</w:tr>
      <w:tr w:rsidR="00101BAC" w:rsidRPr="00202091" w:rsidTr="00FA0591">
        <w:trPr>
          <w:trHeight w:val="3375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18</w:t>
            </w:r>
          </w:p>
        </w:tc>
        <w:tc>
          <w:tcPr>
            <w:tcW w:w="2385" w:type="pct"/>
            <w:shd w:val="clear" w:color="auto" w:fill="auto"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Δευτερογενές αντίσωμα έναντι των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IgG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(H + L) ποντικού, παραχθέν σε όνο,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highly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cross-adsorbed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ωστε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να μην αναγνωρίζει αντισώματα από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βοειδή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, κοτόπουλο,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κατστίκα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,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Guinea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pig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,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αλογο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,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ανθρωπο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, κουνέλι, αρουραίο, πρόβατο,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Syrian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hamster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,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σημασμένο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με τη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φθορίζσουσα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χρωστική CF555. Να δίνει έντονο σήμα, να είναι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φωτοσταθερό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, διαλυτό στο νερό και να μην επηρεάζεται από το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pH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του διαλύματος.</w:t>
            </w:r>
          </w:p>
        </w:tc>
        <w:tc>
          <w:tcPr>
            <w:tcW w:w="575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597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1184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</w:tr>
      <w:tr w:rsidR="00101BAC" w:rsidRPr="00202091" w:rsidTr="00FA0591">
        <w:trPr>
          <w:trHeight w:val="1695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19</w:t>
            </w:r>
          </w:p>
        </w:tc>
        <w:tc>
          <w:tcPr>
            <w:tcW w:w="2385" w:type="pct"/>
            <w:shd w:val="clear" w:color="000000" w:fill="FFFFFF"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Μονοκλωνικό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αντίσωμα από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αρουραιο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που να αναγνωρίζει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ΒρωμοΔεοχυΟυριδίνη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(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BrdU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).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Kατάλληλο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για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ανοσοφθορισμό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,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Κυτταρομετρία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ροής, </w:t>
            </w:r>
            <w:proofErr w:type="spellStart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ανοσοϊστοχημεία</w:t>
            </w:r>
            <w:proofErr w:type="spellEnd"/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.</w:t>
            </w:r>
          </w:p>
        </w:tc>
        <w:tc>
          <w:tcPr>
            <w:tcW w:w="575" w:type="pct"/>
            <w:shd w:val="clear" w:color="000000" w:fill="FFFFFF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597" w:type="pct"/>
            <w:shd w:val="clear" w:color="000000" w:fill="FFFFFF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1184" w:type="pct"/>
            <w:shd w:val="clear" w:color="000000" w:fill="FFFFFF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</w:tr>
      <w:tr w:rsidR="00101BAC" w:rsidRPr="00202091" w:rsidTr="00FA0591">
        <w:trPr>
          <w:trHeight w:val="255"/>
          <w:jc w:val="center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 </w:t>
            </w:r>
          </w:p>
        </w:tc>
        <w:tc>
          <w:tcPr>
            <w:tcW w:w="2385" w:type="pct"/>
            <w:shd w:val="clear" w:color="auto" w:fill="auto"/>
            <w:noWrap/>
            <w:vAlign w:val="center"/>
            <w:hideMark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202091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 </w:t>
            </w:r>
          </w:p>
        </w:tc>
        <w:tc>
          <w:tcPr>
            <w:tcW w:w="575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597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  <w:tc>
          <w:tcPr>
            <w:tcW w:w="1184" w:type="pct"/>
          </w:tcPr>
          <w:p w:rsidR="00101BAC" w:rsidRPr="00202091" w:rsidRDefault="00101BAC" w:rsidP="00FA059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</w:p>
        </w:tc>
      </w:tr>
      <w:bookmarkEnd w:id="0"/>
    </w:tbl>
    <w:p w:rsidR="00101BAC" w:rsidRDefault="00101BAC" w:rsidP="00101BAC">
      <w:pPr>
        <w:pStyle w:val="normalwithoutspacing"/>
        <w:rPr>
          <w:rFonts w:asciiTheme="minorHAnsi" w:hAnsiTheme="minorHAnsi"/>
          <w:b/>
          <w:szCs w:val="22"/>
          <w:u w:val="single"/>
        </w:rPr>
      </w:pPr>
    </w:p>
    <w:p w:rsidR="00101BAC" w:rsidRPr="00C011DD" w:rsidRDefault="00101BAC" w:rsidP="00101BAC">
      <w:pPr>
        <w:pStyle w:val="normalwithoutspacing"/>
        <w:rPr>
          <w:rFonts w:asciiTheme="minorHAnsi" w:hAnsiTheme="minorHAnsi"/>
          <w:b/>
          <w:szCs w:val="22"/>
          <w:u w:val="single"/>
        </w:rPr>
      </w:pPr>
    </w:p>
    <w:p w:rsidR="00101BAC" w:rsidRPr="00994BB7" w:rsidRDefault="00101BAC" w:rsidP="00101BAC">
      <w:pPr>
        <w:pStyle w:val="ListParagraph"/>
        <w:spacing w:after="0" w:line="252" w:lineRule="auto"/>
        <w:ind w:left="0"/>
        <w:jc w:val="both"/>
        <w:rPr>
          <w:b/>
          <w:bCs/>
          <w:u w:val="single"/>
          <w:lang w:val="el-GR"/>
        </w:rPr>
      </w:pPr>
    </w:p>
    <w:p w:rsidR="00101BAC" w:rsidRPr="00994BB7" w:rsidRDefault="00101BAC" w:rsidP="00101BAC">
      <w:pPr>
        <w:pStyle w:val="normalwithoutspacing"/>
        <w:rPr>
          <w:rFonts w:asciiTheme="minorHAnsi" w:hAnsiTheme="minorHAnsi"/>
          <w:b/>
          <w:szCs w:val="22"/>
          <w:u w:val="single"/>
        </w:rPr>
      </w:pPr>
    </w:p>
    <w:p w:rsidR="00101BAC" w:rsidRPr="00994BB7" w:rsidRDefault="00101BAC" w:rsidP="00101BAC">
      <w:pPr>
        <w:pStyle w:val="normalwithoutspacing"/>
        <w:rPr>
          <w:rFonts w:asciiTheme="minorHAnsi" w:hAnsiTheme="minorHAnsi"/>
          <w:b/>
          <w:szCs w:val="22"/>
          <w:u w:val="single"/>
        </w:rPr>
      </w:pPr>
    </w:p>
    <w:p w:rsidR="00101BAC" w:rsidRPr="00994BB7" w:rsidRDefault="00101BAC" w:rsidP="00101BAC">
      <w:pPr>
        <w:pStyle w:val="normalwithoutspacing"/>
        <w:rPr>
          <w:rFonts w:asciiTheme="minorHAnsi" w:hAnsiTheme="minorHAnsi"/>
          <w:b/>
          <w:szCs w:val="22"/>
          <w:u w:val="single"/>
        </w:rPr>
      </w:pPr>
    </w:p>
    <w:p w:rsidR="00101BAC" w:rsidRPr="00994BB7" w:rsidRDefault="00101BAC" w:rsidP="00101BAC">
      <w:pPr>
        <w:pStyle w:val="normalwithoutspacing"/>
        <w:rPr>
          <w:rFonts w:asciiTheme="minorHAnsi" w:hAnsiTheme="minorHAnsi"/>
          <w:b/>
          <w:szCs w:val="22"/>
          <w:u w:val="single"/>
        </w:rPr>
      </w:pPr>
    </w:p>
    <w:p w:rsidR="00101BAC" w:rsidRDefault="00101BAC" w:rsidP="00101BAC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101BAC" w:rsidRDefault="00101BAC" w:rsidP="00101BAC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101BAC" w:rsidRDefault="00101BAC" w:rsidP="00101BAC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2711C1" w:rsidRPr="00101BAC" w:rsidRDefault="002711C1" w:rsidP="00101BAC"/>
    <w:sectPr w:rsidR="002711C1" w:rsidRPr="00101BAC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2BB" w:rsidRDefault="006312BB" w:rsidP="00101BAC">
      <w:pPr>
        <w:spacing w:after="0"/>
      </w:pPr>
      <w:r>
        <w:separator/>
      </w:r>
    </w:p>
  </w:endnote>
  <w:endnote w:type="continuationSeparator" w:id="0">
    <w:p w:rsidR="006312BB" w:rsidRDefault="006312BB" w:rsidP="00101B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BAC" w:rsidRDefault="00101BAC">
    <w:pPr>
      <w:pStyle w:val="Footer"/>
    </w:pPr>
    <w:r w:rsidRPr="002314E6">
      <w:rPr>
        <w:noProof/>
        <w:sz w:val="24"/>
        <w:lang w:eastAsia="el-GR"/>
      </w:rPr>
      <w:drawing>
        <wp:inline distT="0" distB="0" distL="0" distR="0" wp14:anchorId="37F1B79E" wp14:editId="4F1DE8D6">
          <wp:extent cx="4596130" cy="981710"/>
          <wp:effectExtent l="0" t="0" r="0" b="8890"/>
          <wp:docPr id="1" name="Picture 1" descr="ΠΛΑΙΣΙΟ_ΕΤΠ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ΠΛΑΙΣΙΟ_ΕΤΠ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613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2BB" w:rsidRDefault="006312BB" w:rsidP="00101BAC">
      <w:pPr>
        <w:spacing w:after="0"/>
      </w:pPr>
      <w:r>
        <w:separator/>
      </w:r>
    </w:p>
  </w:footnote>
  <w:footnote w:type="continuationSeparator" w:id="0">
    <w:p w:rsidR="006312BB" w:rsidRDefault="006312BB" w:rsidP="00101B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BAC" w:rsidRDefault="00101BAC">
    <w:pPr>
      <w:pStyle w:val="Header"/>
    </w:pPr>
  </w:p>
  <w:p w:rsidR="00101BAC" w:rsidRDefault="00101BAC">
    <w:pPr>
      <w:pStyle w:val="Header"/>
    </w:pPr>
  </w:p>
  <w:p w:rsidR="00101BAC" w:rsidRDefault="00101BAC">
    <w:pPr>
      <w:pStyle w:val="Header"/>
    </w:pPr>
  </w:p>
  <w:p w:rsidR="00101BAC" w:rsidRDefault="00101B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AC"/>
    <w:rsid w:val="00101BAC"/>
    <w:rsid w:val="00202091"/>
    <w:rsid w:val="002711C1"/>
    <w:rsid w:val="006312BB"/>
    <w:rsid w:val="00A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341A4-A3F8-445A-9E13-8FDC463E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BA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BAC"/>
    <w:pPr>
      <w:tabs>
        <w:tab w:val="center" w:pos="4153"/>
        <w:tab w:val="right" w:pos="8306"/>
      </w:tabs>
      <w:suppressAutoHyphens w:val="0"/>
      <w:spacing w:after="0"/>
      <w:jc w:val="left"/>
    </w:pPr>
    <w:rPr>
      <w:rFonts w:asciiTheme="minorHAnsi" w:eastAsiaTheme="minorHAnsi" w:hAnsiTheme="minorHAnsi" w:cstheme="minorBidi"/>
      <w:szCs w:val="22"/>
      <w:lang w:val="el-G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1BAC"/>
  </w:style>
  <w:style w:type="paragraph" w:styleId="Footer">
    <w:name w:val="footer"/>
    <w:basedOn w:val="Normal"/>
    <w:link w:val="FooterChar"/>
    <w:uiPriority w:val="99"/>
    <w:unhideWhenUsed/>
    <w:rsid w:val="00101BAC"/>
    <w:pPr>
      <w:tabs>
        <w:tab w:val="center" w:pos="4153"/>
        <w:tab w:val="right" w:pos="8306"/>
      </w:tabs>
      <w:suppressAutoHyphens w:val="0"/>
      <w:spacing w:after="0"/>
      <w:jc w:val="left"/>
    </w:pPr>
    <w:rPr>
      <w:rFonts w:asciiTheme="minorHAnsi" w:eastAsiaTheme="minorHAnsi" w:hAnsiTheme="minorHAnsi" w:cstheme="minorBidi"/>
      <w:szCs w:val="22"/>
      <w:lang w:val="el-G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01BAC"/>
  </w:style>
  <w:style w:type="paragraph" w:customStyle="1" w:styleId="normalwithoutspacing">
    <w:name w:val="normal_without_spacing"/>
    <w:basedOn w:val="Normal"/>
    <w:rsid w:val="00101BAC"/>
    <w:pPr>
      <w:spacing w:after="60"/>
    </w:pPr>
    <w:rPr>
      <w:lang w:val="el-GR"/>
    </w:rPr>
  </w:style>
  <w:style w:type="paragraph" w:styleId="ListParagraph">
    <w:name w:val="List Paragraph"/>
    <w:basedOn w:val="Normal"/>
    <w:uiPriority w:val="34"/>
    <w:qFormat/>
    <w:rsid w:val="00101BAC"/>
    <w:pPr>
      <w:suppressAutoHyphens w:val="0"/>
      <w:spacing w:after="200" w:line="276" w:lineRule="auto"/>
      <w:ind w:left="720"/>
      <w:jc w:val="left"/>
    </w:pPr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744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Παπαιωάννου</dc:creator>
  <cp:keywords/>
  <dc:description/>
  <cp:lastModifiedBy>Βασιλική Παπαιωάννου</cp:lastModifiedBy>
  <cp:revision>2</cp:revision>
  <dcterms:created xsi:type="dcterms:W3CDTF">2020-10-07T06:59:00Z</dcterms:created>
  <dcterms:modified xsi:type="dcterms:W3CDTF">2020-10-07T07:07:00Z</dcterms:modified>
</cp:coreProperties>
</file>