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61D4B" w14:textId="77777777" w:rsidR="00034759" w:rsidRPr="00034759" w:rsidRDefault="00034759" w:rsidP="00034759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u w:val="single"/>
          <w:lang w:eastAsia="zh-CN"/>
        </w:rPr>
      </w:pPr>
      <w:bookmarkStart w:id="0" w:name="_GoBack"/>
      <w:bookmarkEnd w:id="0"/>
      <w:r w:rsidRPr="00034759">
        <w:rPr>
          <w:rFonts w:ascii="Calibri" w:eastAsia="Times New Roman" w:hAnsi="Calibri" w:cs="Calibri"/>
          <w:b/>
          <w:u w:val="single"/>
          <w:lang w:eastAsia="zh-CN"/>
        </w:rPr>
        <w:t>ΦΥΛΛΟ ΣΥΜΜΟΡΦΩΣΗΣ</w:t>
      </w:r>
    </w:p>
    <w:p w14:paraId="612EBAD5" w14:textId="77777777" w:rsidR="00034759" w:rsidRPr="00034759" w:rsidRDefault="00034759" w:rsidP="00034759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297"/>
        <w:gridCol w:w="939"/>
        <w:gridCol w:w="819"/>
        <w:gridCol w:w="1745"/>
      </w:tblGrid>
      <w:tr w:rsidR="00034759" w:rsidRPr="00034759" w14:paraId="62D08189" w14:textId="77777777" w:rsidTr="002D4749">
        <w:trPr>
          <w:trHeight w:val="975"/>
          <w:jc w:val="center"/>
        </w:trPr>
        <w:tc>
          <w:tcPr>
            <w:tcW w:w="260" w:type="pct"/>
            <w:shd w:val="clear" w:color="000000" w:fill="D0CECE"/>
            <w:noWrap/>
            <w:vAlign w:val="center"/>
          </w:tcPr>
          <w:p w14:paraId="58C26F7E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Α/Α</w:t>
            </w:r>
          </w:p>
        </w:tc>
        <w:tc>
          <w:tcPr>
            <w:tcW w:w="2600" w:type="pct"/>
            <w:shd w:val="clear" w:color="000000" w:fill="D0CECE"/>
            <w:vAlign w:val="center"/>
          </w:tcPr>
          <w:p w14:paraId="363C271D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  <w:t>ΠΕΡΙΓΡΑΦΗ</w:t>
            </w:r>
          </w:p>
        </w:tc>
        <w:tc>
          <w:tcPr>
            <w:tcW w:w="576" w:type="pct"/>
            <w:shd w:val="clear" w:color="000000" w:fill="D0CECE"/>
            <w:vAlign w:val="center"/>
          </w:tcPr>
          <w:p w14:paraId="3CB5646B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en-GB"/>
              </w:rPr>
            </w:pPr>
            <w:r w:rsidRPr="000347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en-GB"/>
              </w:rPr>
              <w:t>NAI</w:t>
            </w:r>
          </w:p>
        </w:tc>
        <w:tc>
          <w:tcPr>
            <w:tcW w:w="503" w:type="pct"/>
            <w:shd w:val="clear" w:color="000000" w:fill="D0CECE"/>
            <w:vAlign w:val="center"/>
          </w:tcPr>
          <w:p w14:paraId="15DA3165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en-GB"/>
              </w:rPr>
            </w:pPr>
            <w:r w:rsidRPr="000347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en-GB"/>
              </w:rPr>
              <w:t>OXI</w:t>
            </w:r>
          </w:p>
        </w:tc>
        <w:tc>
          <w:tcPr>
            <w:tcW w:w="1061" w:type="pct"/>
            <w:shd w:val="clear" w:color="000000" w:fill="D0CECE"/>
            <w:vAlign w:val="center"/>
          </w:tcPr>
          <w:p w14:paraId="6EA59EF8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  <w:t>ΠΑΡΑΠΟΜΠΗ</w:t>
            </w:r>
          </w:p>
        </w:tc>
      </w:tr>
      <w:tr w:rsidR="00034759" w:rsidRPr="00034759" w14:paraId="2F582789" w14:textId="77777777" w:rsidTr="002D4749">
        <w:trPr>
          <w:trHeight w:val="241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74063EE8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600" w:type="pct"/>
            <w:vAlign w:val="center"/>
          </w:tcPr>
          <w:p w14:paraId="2EA837D4" w14:textId="77777777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Calibri"/>
              </w:rPr>
              <w:t>Εκλεκτικό συμπλήρωμα αντιβιοτικών "</w:t>
            </w:r>
            <w:r w:rsidRPr="00034759">
              <w:rPr>
                <w:rFonts w:ascii="Calibri" w:eastAsia="Times New Roman" w:hAnsi="Calibri" w:cs="Calibri"/>
                <w:lang w:val="en-US"/>
              </w:rPr>
              <w:t>V</w:t>
            </w:r>
            <w:r w:rsidRPr="00034759">
              <w:rPr>
                <w:rFonts w:ascii="Calibri" w:eastAsia="Times New Roman" w:hAnsi="Calibri" w:cs="Calibri"/>
              </w:rPr>
              <w:t>.</w:t>
            </w:r>
            <w:r w:rsidRPr="00034759">
              <w:rPr>
                <w:rFonts w:ascii="Calibri" w:eastAsia="Times New Roman" w:hAnsi="Calibri" w:cs="Calibri"/>
                <w:lang w:val="en-US"/>
              </w:rPr>
              <w:t>C</w:t>
            </w:r>
            <w:r w:rsidRPr="00034759">
              <w:rPr>
                <w:rFonts w:ascii="Calibri" w:eastAsia="Times New Roman" w:hAnsi="Calibri" w:cs="Calibri"/>
              </w:rPr>
              <w:t xml:space="preserve">.Ν." που χρησιμεύει στην απομόνωση παθογόνων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Ναϊσσεριών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όταν χρησιμοποιείται με το </w:t>
            </w:r>
            <w:r w:rsidRPr="00034759">
              <w:rPr>
                <w:rFonts w:ascii="Calibri" w:eastAsia="Times New Roman" w:hAnsi="Calibri" w:cs="Calibri"/>
                <w:lang w:val="en-US"/>
              </w:rPr>
              <w:t>GC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agar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base</w:t>
            </w:r>
            <w:r w:rsidRPr="00034759">
              <w:rPr>
                <w:rFonts w:ascii="Calibri" w:eastAsia="Times New Roman" w:hAnsi="Calibri" w:cs="Calibri"/>
              </w:rPr>
              <w:t xml:space="preserve"> (</w:t>
            </w:r>
            <w:r w:rsidRPr="00034759">
              <w:rPr>
                <w:rFonts w:ascii="Calibri" w:eastAsia="Times New Roman" w:hAnsi="Calibri" w:cs="Calibri"/>
                <w:lang w:val="en-US"/>
              </w:rPr>
              <w:t>CM</w:t>
            </w:r>
            <w:r w:rsidRPr="00034759">
              <w:rPr>
                <w:rFonts w:ascii="Calibri" w:eastAsia="Times New Roman" w:hAnsi="Calibri" w:cs="Calibri"/>
              </w:rPr>
              <w:t xml:space="preserve">367). Κάθε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φιαλίδι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>o</w:t>
            </w:r>
            <w:r w:rsidRPr="00034759">
              <w:rPr>
                <w:rFonts w:ascii="Calibri" w:eastAsia="Times New Roman" w:hAnsi="Calibri" w:cs="Calibri"/>
              </w:rPr>
              <w:t xml:space="preserve"> περιέχει: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Vancomycin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1,5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Colistin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sulphate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3,75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Nystatin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6,250 </w:t>
            </w:r>
            <w:r w:rsidRPr="00034759">
              <w:rPr>
                <w:rFonts w:ascii="Calibri" w:eastAsia="Times New Roman" w:hAnsi="Calibri" w:cs="Calibri"/>
                <w:lang w:val="en-US"/>
              </w:rPr>
              <w:t>IU</w:t>
            </w:r>
            <w:r w:rsidRPr="00034759">
              <w:rPr>
                <w:rFonts w:ascii="Calibri" w:eastAsia="Times New Roman" w:hAnsi="Calibri" w:cs="Calibri"/>
              </w:rPr>
              <w:t xml:space="preserve"> και είναι για 500</w:t>
            </w:r>
            <w:r w:rsidRPr="00034759">
              <w:rPr>
                <w:rFonts w:ascii="Calibri" w:eastAsia="Times New Roman" w:hAnsi="Calibri" w:cs="Calibri"/>
                <w:lang w:val="en-US"/>
              </w:rPr>
              <w:t>ml</w:t>
            </w:r>
            <w:r w:rsidRPr="00034759">
              <w:rPr>
                <w:rFonts w:ascii="Calibri" w:eastAsia="Times New Roman" w:hAnsi="Calibri" w:cs="Calibri"/>
              </w:rPr>
              <w:t xml:space="preserve"> έτοιμου υλικού. Ανά συσκευασία 10 φιαλιδίων προκύπτουν 5 λίτρα έτοιμου υλικού (≈294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τρυβλία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90</w:t>
            </w:r>
            <w:r w:rsidRPr="00034759">
              <w:rPr>
                <w:rFonts w:ascii="Calibri" w:eastAsia="Times New Roman" w:hAnsi="Calibri" w:cs="Calibri"/>
                <w:lang w:val="en-US"/>
              </w:rPr>
              <w:t>mm</w:t>
            </w:r>
            <w:r w:rsidRPr="00034759">
              <w:rPr>
                <w:rFonts w:ascii="Calibri" w:eastAsia="Times New Roman" w:hAnsi="Calibri" w:cs="Calibri"/>
              </w:rPr>
              <w:t xml:space="preserve"> /εξετάσεις).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Φέρει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σήμ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ανση IVD CE Mark.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Συκευ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ασία 1x10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φι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>αλίδια.</w:t>
            </w:r>
          </w:p>
        </w:tc>
        <w:tc>
          <w:tcPr>
            <w:tcW w:w="576" w:type="pct"/>
          </w:tcPr>
          <w:p w14:paraId="06728913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</w:tcPr>
          <w:p w14:paraId="73015532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</w:tcPr>
          <w:p w14:paraId="152E6151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34759" w:rsidRPr="00034759" w14:paraId="3DD85246" w14:textId="77777777" w:rsidTr="002D4749">
        <w:trPr>
          <w:trHeight w:val="385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63F174B4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600" w:type="pct"/>
            <w:vAlign w:val="center"/>
          </w:tcPr>
          <w:p w14:paraId="41171799" w14:textId="77777777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Calibri"/>
              </w:rPr>
              <w:t xml:space="preserve">Το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Vitox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είναι ένα αποστειρωμένο εκλεκτικό συμπλήρωμα αυξητικών παραγόντων που χρησιμοποιείται στον εμπλουτισμό διαφόρων θρεπτικών υλικών, όπως στην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ετοιμασίαμ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του </w:t>
            </w:r>
            <w:r w:rsidRPr="00034759">
              <w:rPr>
                <w:rFonts w:ascii="Calibri" w:eastAsia="Times New Roman" w:hAnsi="Calibri" w:cs="Calibri"/>
                <w:lang w:val="en-US"/>
              </w:rPr>
              <w:t>Thayer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Martin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Medium</w:t>
            </w:r>
            <w:r w:rsidRPr="00034759">
              <w:rPr>
                <w:rFonts w:ascii="Calibri" w:eastAsia="Times New Roman" w:hAnsi="Calibri" w:cs="Calibri"/>
              </w:rPr>
              <w:t xml:space="preserve">. Κάθε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λυοφιλιοποιημένο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φιαλίδιο διαλύεται με το παρεχόμενο διάλυμα 10</w:t>
            </w:r>
            <w:r w:rsidRPr="00034759">
              <w:rPr>
                <w:rFonts w:ascii="Calibri" w:eastAsia="Times New Roman" w:hAnsi="Calibri" w:cs="Calibri"/>
                <w:lang w:val="en-US"/>
              </w:rPr>
              <w:t>ml</w:t>
            </w:r>
            <w:r w:rsidRPr="00034759">
              <w:rPr>
                <w:rFonts w:ascii="Calibri" w:eastAsia="Times New Roman" w:hAnsi="Calibri" w:cs="Calibri"/>
              </w:rPr>
              <w:t xml:space="preserve"> 10% γλυκόζης και περιέχει: </w:t>
            </w:r>
            <w:r w:rsidRPr="00034759">
              <w:rPr>
                <w:rFonts w:ascii="Calibri" w:eastAsia="Times New Roman" w:hAnsi="Calibri" w:cs="Calibri"/>
                <w:lang w:val="en-US"/>
              </w:rPr>
              <w:t>Vitamin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B</w:t>
            </w:r>
            <w:r w:rsidRPr="00034759">
              <w:rPr>
                <w:rFonts w:ascii="Calibri" w:eastAsia="Times New Roman" w:hAnsi="Calibri" w:cs="Calibri"/>
              </w:rPr>
              <w:t>12 0.1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lang w:val="en-US"/>
              </w:rPr>
              <w:t>L</w:t>
            </w:r>
            <w:r w:rsidRPr="00034759">
              <w:rPr>
                <w:rFonts w:ascii="Calibri" w:eastAsia="Times New Roman" w:hAnsi="Calibri" w:cs="Calibri"/>
              </w:rPr>
              <w:t>-</w:t>
            </w:r>
            <w:r w:rsidRPr="00034759">
              <w:rPr>
                <w:rFonts w:ascii="Calibri" w:eastAsia="Times New Roman" w:hAnsi="Calibri" w:cs="Calibri"/>
                <w:lang w:val="en-US"/>
              </w:rPr>
              <w:t>glutamine</w:t>
            </w:r>
            <w:r w:rsidRPr="00034759">
              <w:rPr>
                <w:rFonts w:ascii="Calibri" w:eastAsia="Times New Roman" w:hAnsi="Calibri" w:cs="Calibri"/>
              </w:rPr>
              <w:t xml:space="preserve"> 100.0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lang w:val="en-US"/>
              </w:rPr>
              <w:t>Adenine</w:t>
            </w:r>
            <w:r w:rsidRPr="00034759">
              <w:rPr>
                <w:rFonts w:ascii="Calibri" w:eastAsia="Times New Roman" w:hAnsi="Calibri" w:cs="Calibri"/>
              </w:rPr>
              <w:t xml:space="preserve"> 10.0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lang w:val="en-US"/>
              </w:rPr>
              <w:t>Guanine</w:t>
            </w:r>
            <w:r w:rsidRPr="00034759">
              <w:rPr>
                <w:rFonts w:ascii="Calibri" w:eastAsia="Times New Roman" w:hAnsi="Calibri" w:cs="Calibri"/>
              </w:rPr>
              <w:t xml:space="preserve"> 0.3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lang w:val="en-US"/>
              </w:rPr>
              <w:t>p</w:t>
            </w:r>
            <w:r w:rsidRPr="00034759">
              <w:rPr>
                <w:rFonts w:ascii="Calibri" w:eastAsia="Times New Roman" w:hAnsi="Calibri" w:cs="Calibri"/>
              </w:rPr>
              <w:t>-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Aminobenzoic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acid</w:t>
            </w:r>
            <w:r w:rsidRPr="00034759">
              <w:rPr>
                <w:rFonts w:ascii="Calibri" w:eastAsia="Times New Roman" w:hAnsi="Calibri" w:cs="Calibri"/>
              </w:rPr>
              <w:t xml:space="preserve"> 0.13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lang w:val="en-US"/>
              </w:rPr>
              <w:t>L</w:t>
            </w:r>
            <w:r w:rsidRPr="00034759">
              <w:rPr>
                <w:rFonts w:ascii="Calibri" w:eastAsia="Times New Roman" w:hAnsi="Calibri" w:cs="Calibri"/>
              </w:rPr>
              <w:t>-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cystine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11.0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lang w:val="en-US"/>
              </w:rPr>
              <w:t>NAD</w:t>
            </w:r>
            <w:r w:rsidRPr="00034759">
              <w:rPr>
                <w:rFonts w:ascii="Calibri" w:eastAsia="Times New Roman" w:hAnsi="Calibri" w:cs="Calibri"/>
              </w:rPr>
              <w:t xml:space="preserve"> (</w:t>
            </w:r>
            <w:r w:rsidRPr="00034759">
              <w:rPr>
                <w:rFonts w:ascii="Calibri" w:eastAsia="Times New Roman" w:hAnsi="Calibri" w:cs="Calibri"/>
                <w:lang w:val="en-US"/>
              </w:rPr>
              <w:t>Coenzyme</w:t>
            </w:r>
            <w:r w:rsidRPr="00034759">
              <w:rPr>
                <w:rFonts w:ascii="Calibri" w:eastAsia="Times New Roman" w:hAnsi="Calibri" w:cs="Calibri"/>
              </w:rPr>
              <w:t xml:space="preserve"> 1, </w:t>
            </w:r>
            <w:r w:rsidRPr="00034759">
              <w:rPr>
                <w:rFonts w:ascii="Calibri" w:eastAsia="Times New Roman" w:hAnsi="Calibri" w:cs="Calibri"/>
                <w:lang w:val="en-US"/>
              </w:rPr>
              <w:t>factor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V</w:t>
            </w:r>
            <w:r w:rsidRPr="00034759">
              <w:rPr>
                <w:rFonts w:ascii="Calibri" w:eastAsia="Times New Roman" w:hAnsi="Calibri" w:cs="Calibri"/>
              </w:rPr>
              <w:t>) 2.5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Cocarboxylase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1.0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lang w:val="en-US"/>
              </w:rPr>
              <w:t>Ferric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nitrate</w:t>
            </w:r>
            <w:r w:rsidRPr="00034759">
              <w:rPr>
                <w:rFonts w:ascii="Calibri" w:eastAsia="Times New Roman" w:hAnsi="Calibri" w:cs="Calibri"/>
              </w:rPr>
              <w:t xml:space="preserve"> 0.2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lang w:val="en-US"/>
              </w:rPr>
              <w:t>Thiamine</w:t>
            </w:r>
            <w:r w:rsidRPr="00034759">
              <w:rPr>
                <w:rFonts w:ascii="Calibri" w:eastAsia="Times New Roman" w:hAnsi="Calibri" w:cs="Calibri"/>
              </w:rPr>
              <w:t xml:space="preserve"> 0.03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 και </w:t>
            </w:r>
            <w:r w:rsidRPr="00034759">
              <w:rPr>
                <w:rFonts w:ascii="Calibri" w:eastAsia="Times New Roman" w:hAnsi="Calibri" w:cs="Calibri"/>
                <w:lang w:val="en-US"/>
              </w:rPr>
              <w:t>Cysteine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hydrochloride</w:t>
            </w:r>
            <w:r w:rsidRPr="00034759">
              <w:rPr>
                <w:rFonts w:ascii="Calibri" w:eastAsia="Times New Roman" w:hAnsi="Calibri" w:cs="Calibri"/>
              </w:rPr>
              <w:t xml:space="preserve"> 259.0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. Κάθε </w:t>
            </w:r>
            <w:r w:rsidRPr="00034759">
              <w:rPr>
                <w:rFonts w:ascii="Calibri" w:eastAsia="Times New Roman" w:hAnsi="Calibri" w:cs="Calibri"/>
                <w:lang w:val="en-US"/>
              </w:rPr>
              <w:t>kit</w:t>
            </w:r>
            <w:r w:rsidRPr="00034759">
              <w:rPr>
                <w:rFonts w:ascii="Calibri" w:eastAsia="Times New Roman" w:hAnsi="Calibri" w:cs="Calibri"/>
              </w:rPr>
              <w:t xml:space="preserve"> αποδίδει 100 </w:t>
            </w:r>
            <w:r w:rsidRPr="00034759">
              <w:rPr>
                <w:rFonts w:ascii="Calibri" w:eastAsia="Times New Roman" w:hAnsi="Calibri" w:cs="Calibri"/>
                <w:lang w:val="en-US"/>
              </w:rPr>
              <w:t>ml</w:t>
            </w:r>
            <w:r w:rsidRPr="00034759">
              <w:rPr>
                <w:rFonts w:ascii="Calibri" w:eastAsia="Times New Roman" w:hAnsi="Calibri" w:cs="Calibri"/>
              </w:rPr>
              <w:t xml:space="preserve"> συμπληρώματος άρα 2'500</w:t>
            </w:r>
            <w:r w:rsidRPr="00034759">
              <w:rPr>
                <w:rFonts w:ascii="Calibri" w:eastAsia="Times New Roman" w:hAnsi="Calibri" w:cs="Calibri"/>
                <w:lang w:val="en-US"/>
              </w:rPr>
              <w:t>ml</w:t>
            </w:r>
            <w:r w:rsidRPr="00034759">
              <w:rPr>
                <w:rFonts w:ascii="Calibri" w:eastAsia="Times New Roman" w:hAnsi="Calibri" w:cs="Calibri"/>
              </w:rPr>
              <w:t xml:space="preserve"> έτοιμου υλικού (≈147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τρυβλία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90</w:t>
            </w:r>
            <w:r w:rsidRPr="00034759">
              <w:rPr>
                <w:rFonts w:ascii="Calibri" w:eastAsia="Times New Roman" w:hAnsi="Calibri" w:cs="Calibri"/>
                <w:lang w:val="en-US"/>
              </w:rPr>
              <w:t>mm</w:t>
            </w:r>
            <w:r w:rsidRPr="00034759">
              <w:rPr>
                <w:rFonts w:ascii="Calibri" w:eastAsia="Times New Roman" w:hAnsi="Calibri" w:cs="Calibri"/>
              </w:rPr>
              <w:t xml:space="preserve"> /εξετάσεις).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Φέρει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σήμ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ανση IVD CE Mark.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Συκευ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ασία 2x5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φι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>αλίδια.</w:t>
            </w:r>
          </w:p>
        </w:tc>
        <w:tc>
          <w:tcPr>
            <w:tcW w:w="576" w:type="pct"/>
          </w:tcPr>
          <w:p w14:paraId="2DF12C3D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</w:tcPr>
          <w:p w14:paraId="183AE9F8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</w:tcPr>
          <w:p w14:paraId="272E7F59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34759" w:rsidRPr="00034759" w14:paraId="7A69FCC3" w14:textId="77777777" w:rsidTr="002D4749">
        <w:trPr>
          <w:trHeight w:val="131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2ED91236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600" w:type="pct"/>
            <w:vAlign w:val="center"/>
          </w:tcPr>
          <w:p w14:paraId="589C5FBB" w14:textId="77777777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Calibri"/>
              </w:rPr>
              <w:t xml:space="preserve">Στερεό αφυδατωμένο θρεπτικό υλικό για τον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Αντιμικροβιακό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Έλεγχο Ευαισθησίας (αντιβιόγραμμα) σύμφωνα με το διεθνές πρότυπο </w:t>
            </w:r>
            <w:r w:rsidRPr="00034759">
              <w:rPr>
                <w:rFonts w:ascii="Calibri" w:eastAsia="Times New Roman" w:hAnsi="Calibri" w:cs="Calibri"/>
                <w:lang w:val="en-US"/>
              </w:rPr>
              <w:t>Kirby</w:t>
            </w:r>
            <w:r w:rsidRPr="00034759">
              <w:rPr>
                <w:rFonts w:ascii="Calibri" w:eastAsia="Times New Roman" w:hAnsi="Calibri" w:cs="Calibri"/>
              </w:rPr>
              <w:t>-</w:t>
            </w:r>
            <w:r w:rsidRPr="00034759">
              <w:rPr>
                <w:rFonts w:ascii="Calibri" w:eastAsia="Times New Roman" w:hAnsi="Calibri" w:cs="Calibri"/>
                <w:lang w:val="en-US"/>
              </w:rPr>
              <w:t>Bauer</w:t>
            </w:r>
            <w:r w:rsidRPr="00034759">
              <w:rPr>
                <w:rFonts w:ascii="Calibri" w:eastAsia="Times New Roman" w:hAnsi="Calibri" w:cs="Calibri"/>
              </w:rPr>
              <w:t xml:space="preserve">. Η τελική σύνθεση και η απόδοση καθορίζονται από το </w:t>
            </w:r>
            <w:r w:rsidRPr="00034759">
              <w:rPr>
                <w:rFonts w:ascii="Calibri" w:eastAsia="Times New Roman" w:hAnsi="Calibri" w:cs="Calibri"/>
                <w:lang w:val="en-US"/>
              </w:rPr>
              <w:t>CLS</w:t>
            </w:r>
            <w:r w:rsidRPr="00034759">
              <w:rPr>
                <w:rFonts w:ascii="Calibri" w:eastAsia="Times New Roman" w:hAnsi="Calibri" w:cs="Calibri"/>
              </w:rPr>
              <w:t xml:space="preserve">Ι. </w:t>
            </w:r>
            <w:r w:rsidRPr="00034759">
              <w:rPr>
                <w:rFonts w:ascii="Calibri" w:eastAsia="Times New Roman" w:hAnsi="Calibri" w:cs="Calibri"/>
                <w:lang w:val="en-US"/>
              </w:rPr>
              <w:t>H</w:t>
            </w:r>
            <w:r w:rsidRPr="00034759">
              <w:rPr>
                <w:rFonts w:ascii="Calibri" w:eastAsia="Times New Roman" w:hAnsi="Calibri" w:cs="Calibri"/>
              </w:rPr>
              <w:t xml:space="preserve"> σύνθεση του υλικού </w:t>
            </w:r>
            <w:r w:rsidRPr="00034759">
              <w:rPr>
                <w:rFonts w:ascii="Calibri" w:eastAsia="Times New Roman" w:hAnsi="Calibri" w:cs="Calibri"/>
                <w:lang w:val="en-US"/>
              </w:rPr>
              <w:t>OXOID</w:t>
            </w:r>
            <w:r w:rsidRPr="00034759">
              <w:rPr>
                <w:rFonts w:ascii="Calibri" w:eastAsia="Times New Roman" w:hAnsi="Calibri" w:cs="Calibri"/>
              </w:rPr>
              <w:t xml:space="preserve"> είναι εγκεκριμένη από το </w:t>
            </w:r>
            <w:r w:rsidRPr="00034759">
              <w:rPr>
                <w:rFonts w:ascii="Calibri" w:eastAsia="Times New Roman" w:hAnsi="Calibri" w:cs="Calibri"/>
                <w:lang w:val="en-US"/>
              </w:rPr>
              <w:t>WHO</w:t>
            </w:r>
            <w:r w:rsidRPr="00034759">
              <w:rPr>
                <w:rFonts w:ascii="Calibri" w:eastAsia="Times New Roman" w:hAnsi="Calibri" w:cs="Calibri"/>
              </w:rPr>
              <w:t xml:space="preserve"> και από το </w:t>
            </w:r>
            <w:r w:rsidRPr="00034759">
              <w:rPr>
                <w:rFonts w:ascii="Calibri" w:eastAsia="Times New Roman" w:hAnsi="Calibri" w:cs="Calibri"/>
                <w:lang w:val="en-US"/>
              </w:rPr>
              <w:t>CLSI</w:t>
            </w:r>
            <w:r w:rsidRPr="00034759">
              <w:rPr>
                <w:rFonts w:ascii="Calibri" w:eastAsia="Times New Roman" w:hAnsi="Calibri" w:cs="Calibri"/>
              </w:rPr>
              <w:t xml:space="preserve"> και περιέχει (</w:t>
            </w:r>
            <w:r w:rsidRPr="00034759">
              <w:rPr>
                <w:rFonts w:ascii="Calibri" w:eastAsia="Times New Roman" w:hAnsi="Calibri" w:cs="Calibri"/>
                <w:lang w:val="en-US"/>
              </w:rPr>
              <w:t>g</w:t>
            </w:r>
            <w:r w:rsidRPr="00034759">
              <w:rPr>
                <w:rFonts w:ascii="Calibri" w:eastAsia="Times New Roman" w:hAnsi="Calibri" w:cs="Calibri"/>
              </w:rPr>
              <w:t>/</w:t>
            </w:r>
            <w:r w:rsidRPr="00034759">
              <w:rPr>
                <w:rFonts w:ascii="Calibri" w:eastAsia="Times New Roman" w:hAnsi="Calibri" w:cs="Calibri"/>
                <w:lang w:val="en-US"/>
              </w:rPr>
              <w:t>L</w:t>
            </w:r>
            <w:r w:rsidRPr="00034759">
              <w:rPr>
                <w:rFonts w:ascii="Calibri" w:eastAsia="Times New Roman" w:hAnsi="Calibri" w:cs="Calibri"/>
              </w:rPr>
              <w:t xml:space="preserve">): </w:t>
            </w:r>
            <w:r w:rsidRPr="00034759">
              <w:rPr>
                <w:rFonts w:ascii="Calibri" w:eastAsia="Times New Roman" w:hAnsi="Calibri" w:cs="Calibri"/>
                <w:lang w:val="en-US"/>
              </w:rPr>
              <w:t>Beef</w:t>
            </w:r>
            <w:r w:rsidRPr="00034759">
              <w:rPr>
                <w:rFonts w:ascii="Calibri" w:eastAsia="Times New Roman" w:hAnsi="Calibri" w:cs="Calibri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lang w:val="en-US"/>
              </w:rPr>
              <w:t>dehydrated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infusion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from</w:t>
            </w:r>
            <w:r w:rsidRPr="00034759">
              <w:rPr>
                <w:rFonts w:ascii="Calibri" w:eastAsia="Times New Roman" w:hAnsi="Calibri" w:cs="Calibri"/>
              </w:rPr>
              <w:t xml:space="preserve"> 300.0, </w:t>
            </w:r>
            <w:r w:rsidRPr="00034759">
              <w:rPr>
                <w:rFonts w:ascii="Calibri" w:eastAsia="Times New Roman" w:hAnsi="Calibri" w:cs="Calibri"/>
                <w:lang w:val="en-US"/>
              </w:rPr>
              <w:t>Casein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hydrolysate</w:t>
            </w:r>
            <w:r w:rsidRPr="00034759">
              <w:rPr>
                <w:rFonts w:ascii="Calibri" w:eastAsia="Times New Roman" w:hAnsi="Calibri" w:cs="Calibri"/>
              </w:rPr>
              <w:t xml:space="preserve"> 17.5, </w:t>
            </w:r>
            <w:r w:rsidRPr="00034759">
              <w:rPr>
                <w:rFonts w:ascii="Calibri" w:eastAsia="Times New Roman" w:hAnsi="Calibri" w:cs="Calibri"/>
                <w:lang w:val="en-US"/>
              </w:rPr>
              <w:t>Starch</w:t>
            </w:r>
            <w:r w:rsidRPr="00034759">
              <w:rPr>
                <w:rFonts w:ascii="Calibri" w:eastAsia="Times New Roman" w:hAnsi="Calibri" w:cs="Calibri"/>
              </w:rPr>
              <w:t xml:space="preserve"> 1.5 και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άγαρ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17.0 (</w:t>
            </w:r>
            <w:r w:rsidRPr="00034759">
              <w:rPr>
                <w:rFonts w:ascii="Calibri" w:eastAsia="Times New Roman" w:hAnsi="Calibri" w:cs="Calibri"/>
                <w:lang w:val="en-US"/>
              </w:rPr>
              <w:t>pH</w:t>
            </w:r>
            <w:r w:rsidRPr="00034759">
              <w:rPr>
                <w:rFonts w:ascii="Calibri" w:eastAsia="Times New Roman" w:hAnsi="Calibri" w:cs="Calibri"/>
              </w:rPr>
              <w:t xml:space="preserve"> 7,3±0,1@25°</w:t>
            </w:r>
            <w:r w:rsidRPr="00034759">
              <w:rPr>
                <w:rFonts w:ascii="Calibri" w:eastAsia="Times New Roman" w:hAnsi="Calibri" w:cs="Calibri"/>
                <w:lang w:val="en-US"/>
              </w:rPr>
              <w:t>C</w:t>
            </w:r>
            <w:r w:rsidRPr="00034759">
              <w:rPr>
                <w:rFonts w:ascii="Calibri" w:eastAsia="Times New Roman" w:hAnsi="Calibri" w:cs="Calibri"/>
              </w:rPr>
              <w:t xml:space="preserve">). Η συγκέντρωση ιόντων 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 xml:space="preserve">++ και </w:t>
            </w:r>
            <w:r w:rsidRPr="00034759">
              <w:rPr>
                <w:rFonts w:ascii="Calibri" w:eastAsia="Times New Roman" w:hAnsi="Calibri" w:cs="Calibri"/>
                <w:lang w:val="en-US"/>
              </w:rPr>
              <w:t>Ca</w:t>
            </w:r>
            <w:r w:rsidRPr="00034759">
              <w:rPr>
                <w:rFonts w:ascii="Calibri" w:eastAsia="Times New Roman" w:hAnsi="Calibri" w:cs="Calibri"/>
              </w:rPr>
              <w:t xml:space="preserve">++, καθώς και τα επίπεδα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θυμίνης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και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θυμιδίνης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στο υλικό είναι αυστηρά καθορισμένα. Κάθε κουτί φέρει την ειδική σήμανση "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This</w:t>
            </w:r>
            <w:r w:rsidRPr="00034759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lot</w:t>
            </w:r>
            <w:r w:rsidRPr="00034759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meets</w:t>
            </w:r>
            <w:r w:rsidRPr="00034759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the</w:t>
            </w:r>
            <w:r w:rsidRPr="00034759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NCCLS</w:t>
            </w:r>
            <w:r w:rsidRPr="00034759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standard</w:t>
            </w:r>
            <w:r w:rsidRPr="00034759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M</w:t>
            </w:r>
            <w:r w:rsidRPr="00034759">
              <w:rPr>
                <w:rFonts w:ascii="Calibri" w:eastAsia="Times New Roman" w:hAnsi="Calibri" w:cs="Calibri"/>
                <w:u w:val="single"/>
              </w:rPr>
              <w:t>6-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A</w:t>
            </w:r>
            <w:r w:rsidRPr="00034759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for</w:t>
            </w:r>
            <w:r w:rsidRPr="00034759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dehydrated</w:t>
            </w:r>
            <w:r w:rsidRPr="00034759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Mueller</w:t>
            </w:r>
            <w:r w:rsidRPr="00034759">
              <w:rPr>
                <w:rFonts w:ascii="Calibri" w:eastAsia="Times New Roman" w:hAnsi="Calibri" w:cs="Calibri"/>
                <w:u w:val="single"/>
              </w:rPr>
              <w:t>-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Hinton</w:t>
            </w:r>
            <w:r w:rsidRPr="00034759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agar</w:t>
            </w:r>
            <w:r w:rsidRPr="00034759">
              <w:rPr>
                <w:rFonts w:ascii="Calibri" w:eastAsia="Times New Roman" w:hAnsi="Calibri" w:cs="Calibri"/>
              </w:rPr>
              <w:t xml:space="preserve">" καθώς </w:t>
            </w:r>
            <w:r w:rsidRPr="00034759">
              <w:rPr>
                <w:rFonts w:ascii="Calibri" w:eastAsia="Times New Roman" w:hAnsi="Calibri" w:cs="Calibri"/>
                <w:u w:val="single"/>
              </w:rPr>
              <w:t xml:space="preserve">η σύσταση κάθε παρτίδας ελέγχεται για την συμμόρφωσή της </w:t>
            </w:r>
            <w:r w:rsidRPr="00034759">
              <w:rPr>
                <w:rFonts w:ascii="Calibri" w:eastAsia="Times New Roman" w:hAnsi="Calibri" w:cs="Calibri"/>
                <w:u w:val="single"/>
              </w:rPr>
              <w:lastRenderedPageBreak/>
              <w:t xml:space="preserve">με το πρότυπο 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CLS</w:t>
            </w:r>
            <w:r w:rsidRPr="00034759">
              <w:rPr>
                <w:rFonts w:ascii="Calibri" w:eastAsia="Times New Roman" w:hAnsi="Calibri" w:cs="Calibri"/>
                <w:u w:val="single"/>
              </w:rPr>
              <w:t xml:space="preserve">Ι 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standard</w:t>
            </w:r>
            <w:r w:rsidRPr="00034759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M</w:t>
            </w:r>
            <w:r w:rsidRPr="00034759">
              <w:rPr>
                <w:rFonts w:ascii="Calibri" w:eastAsia="Times New Roman" w:hAnsi="Calibri" w:cs="Calibri"/>
                <w:u w:val="single"/>
              </w:rPr>
              <w:t>6-</w:t>
            </w:r>
            <w:r w:rsidRPr="00034759">
              <w:rPr>
                <w:rFonts w:ascii="Calibri" w:eastAsia="Times New Roman" w:hAnsi="Calibri" w:cs="Calibri"/>
                <w:u w:val="single"/>
                <w:lang w:val="en-US"/>
              </w:rPr>
              <w:t>A</w:t>
            </w:r>
            <w:r w:rsidRPr="00034759">
              <w:rPr>
                <w:rFonts w:ascii="Calibri" w:eastAsia="Times New Roman" w:hAnsi="Calibri" w:cs="Calibri"/>
              </w:rPr>
              <w:t>. Στο υλικό μπορεί να προστεθεί αίμα (</w:t>
            </w:r>
            <w:r w:rsidRPr="00034759">
              <w:rPr>
                <w:rFonts w:ascii="Calibri" w:eastAsia="Times New Roman" w:hAnsi="Calibri" w:cs="Calibri"/>
                <w:lang w:val="en-US"/>
              </w:rPr>
              <w:t>Lysed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Horse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Blood</w:t>
            </w:r>
            <w:r w:rsidRPr="00034759">
              <w:rPr>
                <w:rFonts w:ascii="Calibri" w:eastAsia="Times New Roman" w:hAnsi="Calibri" w:cs="Calibri"/>
              </w:rPr>
              <w:t xml:space="preserve"> ή </w:t>
            </w:r>
            <w:r w:rsidRPr="00034759">
              <w:rPr>
                <w:rFonts w:ascii="Calibri" w:eastAsia="Times New Roman" w:hAnsi="Calibri" w:cs="Calibri"/>
                <w:lang w:val="en-US"/>
              </w:rPr>
              <w:t>Lysed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Sheep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Blood</w:t>
            </w:r>
            <w:r w:rsidRPr="00034759">
              <w:rPr>
                <w:rFonts w:ascii="Calibri" w:eastAsia="Times New Roman" w:hAnsi="Calibri" w:cs="Calibri"/>
              </w:rPr>
              <w:t xml:space="preserve">) για την παρασκευή αντίστοιχου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αιματούχου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υλικού. Στελέχη ποιοτικού ελέγχου: </w:t>
            </w:r>
            <w:r w:rsidRPr="00034759">
              <w:rPr>
                <w:rFonts w:ascii="Calibri" w:eastAsia="Times New Roman" w:hAnsi="Calibri" w:cs="Calibri"/>
                <w:i/>
                <w:iCs/>
                <w:lang w:val="en-US"/>
              </w:rPr>
              <w:t>Escherichia</w:t>
            </w:r>
            <w:r w:rsidRPr="00034759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i/>
                <w:iCs/>
                <w:lang w:val="en-US"/>
              </w:rPr>
              <w:t>coli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ATCC</w:t>
            </w:r>
            <w:r w:rsidRPr="00034759">
              <w:rPr>
                <w:rFonts w:ascii="Calibri" w:eastAsia="Times New Roman" w:hAnsi="Calibri" w:cs="Calibri"/>
              </w:rPr>
              <w:t xml:space="preserve">®25922 (αποικίες ανοιχτού υποκίτρινου χρώματος), </w:t>
            </w:r>
            <w:r w:rsidRPr="00034759">
              <w:rPr>
                <w:rFonts w:ascii="Calibri" w:eastAsia="Times New Roman" w:hAnsi="Calibri" w:cs="Calibri"/>
                <w:i/>
                <w:iCs/>
                <w:lang w:val="en-US"/>
              </w:rPr>
              <w:t>Pseudomonas</w:t>
            </w:r>
            <w:r w:rsidRPr="00034759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i/>
                <w:iCs/>
                <w:lang w:val="en-US"/>
              </w:rPr>
              <w:t>aeruginosa</w:t>
            </w:r>
            <w:r w:rsidRPr="00034759">
              <w:rPr>
                <w:rFonts w:ascii="Calibri" w:eastAsia="Times New Roman" w:hAnsi="Calibri" w:cs="Calibri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ATCC</w:t>
            </w:r>
            <w:r w:rsidRPr="00034759">
              <w:rPr>
                <w:rFonts w:ascii="Calibri" w:eastAsia="Times New Roman" w:hAnsi="Calibri" w:cs="Calibri"/>
              </w:rPr>
              <w:t xml:space="preserve">®27853 (αποικίες υποκίτρινου χρώματος) και </w:t>
            </w:r>
            <w:r w:rsidRPr="00034759">
              <w:rPr>
                <w:rFonts w:ascii="Calibri" w:eastAsia="Times New Roman" w:hAnsi="Calibri" w:cs="Calibri"/>
                <w:i/>
                <w:iCs/>
                <w:lang w:val="en-US"/>
              </w:rPr>
              <w:t>Staphylococcus</w:t>
            </w:r>
            <w:r w:rsidRPr="00034759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i/>
                <w:iCs/>
                <w:lang w:val="en-US"/>
              </w:rPr>
              <w:t>aureus</w:t>
            </w:r>
            <w:r w:rsidRPr="00034759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lang w:val="en-US"/>
              </w:rPr>
              <w:t>ATCC</w:t>
            </w:r>
            <w:r w:rsidRPr="00034759">
              <w:rPr>
                <w:rFonts w:ascii="Calibri" w:eastAsia="Times New Roman" w:hAnsi="Calibri" w:cs="Calibri"/>
              </w:rPr>
              <w:t>®25923 (αποικίες κρεμ χρώματος)</w:t>
            </w:r>
            <w:r w:rsidRPr="00034759">
              <w:rPr>
                <w:rFonts w:ascii="Calibri" w:eastAsia="Times New Roman" w:hAnsi="Calibri" w:cs="Calibri"/>
                <w:i/>
                <w:iCs/>
              </w:rPr>
              <w:t xml:space="preserve">. </w:t>
            </w:r>
            <w:r w:rsidRPr="00034759">
              <w:rPr>
                <w:rFonts w:ascii="Calibri" w:eastAsia="Times New Roman" w:hAnsi="Calibri" w:cs="Calibri"/>
              </w:rPr>
              <w:t>Ζύγιση 38</w:t>
            </w:r>
            <w:r w:rsidRPr="00034759">
              <w:rPr>
                <w:rFonts w:ascii="Calibri" w:eastAsia="Times New Roman" w:hAnsi="Calibri" w:cs="Calibri"/>
                <w:lang w:val="en-US"/>
              </w:rPr>
              <w:t>gr</w:t>
            </w:r>
            <w:r w:rsidRPr="00034759">
              <w:rPr>
                <w:rFonts w:ascii="Calibri" w:eastAsia="Times New Roman" w:hAnsi="Calibri" w:cs="Calibri"/>
              </w:rPr>
              <w:t>/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Ltr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>. Ανά συσκευασία 500</w:t>
            </w:r>
            <w:r w:rsidRPr="00034759">
              <w:rPr>
                <w:rFonts w:ascii="Calibri" w:eastAsia="Times New Roman" w:hAnsi="Calibri" w:cs="Calibri"/>
                <w:lang w:val="en-US"/>
              </w:rPr>
              <w:t>gr</w:t>
            </w:r>
            <w:r w:rsidRPr="00034759">
              <w:rPr>
                <w:rFonts w:ascii="Calibri" w:eastAsia="Times New Roman" w:hAnsi="Calibri" w:cs="Calibri"/>
              </w:rPr>
              <w:t xml:space="preserve"> προκύπτουν 13,2 λίτρα έτοιμου υλικού (≈776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τρυβλία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90</w:t>
            </w:r>
            <w:r w:rsidRPr="00034759">
              <w:rPr>
                <w:rFonts w:ascii="Calibri" w:eastAsia="Times New Roman" w:hAnsi="Calibri" w:cs="Calibri"/>
                <w:lang w:val="en-US"/>
              </w:rPr>
              <w:t>mm</w:t>
            </w:r>
            <w:r w:rsidRPr="00034759">
              <w:rPr>
                <w:rFonts w:ascii="Calibri" w:eastAsia="Times New Roman" w:hAnsi="Calibri" w:cs="Calibri"/>
              </w:rPr>
              <w:t xml:space="preserve"> /εξετάσεις).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Φέρει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σήμ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ανση IVD CE Mark.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Συκευ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>ασία 500gr.</w:t>
            </w:r>
          </w:p>
        </w:tc>
        <w:tc>
          <w:tcPr>
            <w:tcW w:w="576" w:type="pct"/>
          </w:tcPr>
          <w:p w14:paraId="02117908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</w:tcPr>
          <w:p w14:paraId="735CD130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</w:tcPr>
          <w:p w14:paraId="4AD221DD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34759" w:rsidRPr="00034759" w14:paraId="1B3A8821" w14:textId="77777777" w:rsidTr="002D4749">
        <w:trPr>
          <w:trHeight w:val="121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4F12D11B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lastRenderedPageBreak/>
              <w:t>4</w:t>
            </w:r>
          </w:p>
        </w:tc>
        <w:tc>
          <w:tcPr>
            <w:tcW w:w="2600" w:type="pct"/>
            <w:vAlign w:val="center"/>
          </w:tcPr>
          <w:p w14:paraId="1FECD3D9" w14:textId="77777777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Πιπέττες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Pasteur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γυάλινες μήκους 230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mm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, αποστειρωμένες, κλειστές, φίλτρο από βαμβάκι στο στόμιο.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Πα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ρεχόμενες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σε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συσκευ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ασίες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των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250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τεμ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αχίων.</w:t>
            </w:r>
          </w:p>
        </w:tc>
        <w:tc>
          <w:tcPr>
            <w:tcW w:w="576" w:type="pct"/>
            <w:shd w:val="clear" w:color="000000" w:fill="FFFFFF"/>
          </w:tcPr>
          <w:p w14:paraId="5B87F9E8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  <w:shd w:val="clear" w:color="000000" w:fill="FFFFFF"/>
          </w:tcPr>
          <w:p w14:paraId="0A8B1D77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  <w:shd w:val="clear" w:color="000000" w:fill="FFFFFF"/>
          </w:tcPr>
          <w:p w14:paraId="15F60C17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34759" w:rsidRPr="00034759" w14:paraId="707ED305" w14:textId="77777777" w:rsidTr="002D4749">
        <w:trPr>
          <w:trHeight w:val="87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2F850F30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600" w:type="pct"/>
            <w:vAlign w:val="center"/>
          </w:tcPr>
          <w:p w14:paraId="1EA47CEE" w14:textId="77777777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Calibri"/>
                <w:color w:val="000000"/>
              </w:rPr>
              <w:t>Οξικό κάλιο (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potassium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acetate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) για χρήση σε τεχνικές μοριακής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βιολογιας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, χωρίς ανιχνεύσιμα επίπεδα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δεοξυριβονουκλεασών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ριβονουκλεασών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 και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πρωτεασών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. Με Μ 98.15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  <w:r w:rsidRPr="00034759">
              <w:rPr>
                <w:rFonts w:ascii="Calibri" w:eastAsia="Times New Roman" w:hAnsi="Calibri" w:cs="Calibri"/>
                <w:color w:val="000000"/>
              </w:rPr>
              <w:t>/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mol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, διαλυτότητα 2530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  <w:r w:rsidRPr="00034759">
              <w:rPr>
                <w:rFonts w:ascii="Calibri" w:eastAsia="Times New Roman" w:hAnsi="Calibri" w:cs="Calibri"/>
                <w:color w:val="000000"/>
              </w:rPr>
              <w:t>/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L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H</w:t>
            </w:r>
            <w:r w:rsidRPr="00034759">
              <w:rPr>
                <w:rFonts w:ascii="Calibri" w:eastAsia="Times New Roman" w:hAnsi="Calibri" w:cs="Calibri"/>
                <w:color w:val="000000"/>
              </w:rPr>
              <w:t>2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O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), ελάχιστης καθαρότητας 99%, και μέγιστη περιεκτικότητα σε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Pb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: 0.0001%.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Παρεχόμεν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o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σε συσκευασία των 500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gr</w:t>
            </w:r>
            <w:r w:rsidRPr="00034759">
              <w:rPr>
                <w:rFonts w:ascii="Calibri" w:eastAsia="Times New Roman" w:hAnsi="Calibri" w:cs="Calibri"/>
                <w:color w:val="000000"/>
              </w:rPr>
              <w:t>. Με πιστοποιητικό ανάλυσης ανά παρτίδα.</w:t>
            </w:r>
          </w:p>
        </w:tc>
        <w:tc>
          <w:tcPr>
            <w:tcW w:w="576" w:type="pct"/>
          </w:tcPr>
          <w:p w14:paraId="27597DCB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</w:tcPr>
          <w:p w14:paraId="2F3BAB97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</w:tcPr>
          <w:p w14:paraId="1F328757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34759" w:rsidRPr="00034759" w14:paraId="0B8438DA" w14:textId="77777777" w:rsidTr="002D4749">
        <w:trPr>
          <w:trHeight w:val="8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4C724C6B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600" w:type="pct"/>
            <w:vAlign w:val="center"/>
          </w:tcPr>
          <w:p w14:paraId="57EA8A66" w14:textId="77777777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Calibri"/>
                <w:color w:val="000000"/>
              </w:rPr>
              <w:t>Σωληνάρια των 4.5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ml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, διαστάσεων 12.4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mm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75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mm</w:t>
            </w:r>
            <w:r w:rsidRPr="00034759">
              <w:rPr>
                <w:rFonts w:ascii="Calibri" w:eastAsia="Times New Roman" w:hAnsi="Calibri" w:cs="Calibri"/>
                <w:color w:val="000000"/>
              </w:rPr>
              <w:t>, με στρογγυλό πυθμένα και πώμα αερισμού δύο θέσεων (θέση για αερισμό και ερμητικά κλειστό). Να είναι αποστειρωμένα (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SAL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10-3), χωρίς ανιχνεύσιμα επίπεδα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δεοξυριβονουκλεασών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ριβονουκλεασών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 και ανθρώπινου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DNA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και χωρίς πυρετογόνα. Από καθαρό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πολυστυρένιο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, χωρίς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βαρέα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 μέταλλα, κατάλληλα για οπτικές μετρήσεις.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Αντοχή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σε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φυγοκέντρηση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4800 x g: swinging-bucket rotor &amp; 5000 x g: fixed-angle rotor. 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Αντοχή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σωληναρίου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 σε θερμοκρασία -20°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C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έως +60°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C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και πώματος -50°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C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έως +100°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C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. Εσωτερική συσκευασία των 25 τεμαχίων.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Κι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βώτιο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των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80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25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τεμ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αχίων.</w:t>
            </w:r>
          </w:p>
        </w:tc>
        <w:tc>
          <w:tcPr>
            <w:tcW w:w="576" w:type="pct"/>
          </w:tcPr>
          <w:p w14:paraId="5BCC499D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</w:tcPr>
          <w:p w14:paraId="4730EEB7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</w:tcPr>
          <w:p w14:paraId="3B42C4C9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34759" w:rsidRPr="00034759" w14:paraId="3B724272" w14:textId="77777777" w:rsidTr="002D4749">
        <w:trPr>
          <w:trHeight w:val="217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6A85B0E6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600" w:type="pct"/>
            <w:vAlign w:val="center"/>
          </w:tcPr>
          <w:p w14:paraId="25E0601E" w14:textId="77777777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Calibri"/>
                <w:color w:val="000000"/>
              </w:rPr>
              <w:t>Δείκτης μοριακών βαρών εύρους 100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bp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- 10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kb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. Οι ζώνες των 500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bp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των 1000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bp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και των 3000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bp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να είναι μεγαλύτερης έντασης ως δείκτες αναφοράς. Να συνοδεύεται από μωβ χρωστική 6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, χωρίς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SDS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, για παρατήρηση ευδιάκριτων ζωνών χωρίς δημιουργία σκιάς στην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UV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ακτινοβολία.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Συσκευ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ασία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γι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 1.000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δι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αδρομές,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συγκέντρωσης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1.000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μg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/ml (1000 gel lanes 0,1 ml)</w:t>
            </w:r>
          </w:p>
        </w:tc>
        <w:tc>
          <w:tcPr>
            <w:tcW w:w="576" w:type="pct"/>
          </w:tcPr>
          <w:p w14:paraId="2BD41C57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</w:tcPr>
          <w:p w14:paraId="03500D5A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</w:tcPr>
          <w:p w14:paraId="311CDDB5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34759" w:rsidRPr="00034759" w14:paraId="6587C50E" w14:textId="77777777" w:rsidTr="002D4749">
        <w:trPr>
          <w:trHeight w:val="729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296BEA27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lastRenderedPageBreak/>
              <w:t>8</w:t>
            </w:r>
          </w:p>
        </w:tc>
        <w:tc>
          <w:tcPr>
            <w:tcW w:w="2600" w:type="pct"/>
            <w:vAlign w:val="center"/>
          </w:tcPr>
          <w:p w14:paraId="2C02B2BC" w14:textId="77777777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Calibri"/>
                <w:color w:val="000000"/>
              </w:rPr>
              <w:t xml:space="preserve">Δείκτης μοριακών βαρών εύρους 48.5 - 1,018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kb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κατάλληλος για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pulsed</w:t>
            </w:r>
            <w:r w:rsidRPr="00034759">
              <w:rPr>
                <w:rFonts w:ascii="Calibri" w:eastAsia="Times New Roman" w:hAnsi="Calibri" w:cs="Calibri"/>
                <w:color w:val="000000"/>
              </w:rPr>
              <w:t>-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field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gel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electrophoresis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PFG</w:t>
            </w:r>
            <w:r w:rsidRPr="00034759">
              <w:rPr>
                <w:rFonts w:ascii="Calibri" w:eastAsia="Times New Roman" w:hAnsi="Calibri" w:cs="Calibri"/>
                <w:color w:val="000000"/>
              </w:rPr>
              <w:t>), συγκέντρωσης 50 µ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  <w:r w:rsidRPr="00034759">
              <w:rPr>
                <w:rFonts w:ascii="Calibri" w:eastAsia="Times New Roman" w:hAnsi="Calibri" w:cs="Calibri"/>
                <w:color w:val="000000"/>
              </w:rPr>
              <w:t>/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ml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, σε ποσότητα που να επαρκεί για 50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gel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lanes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. Να περιλαμβάνει ένα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GelSyringe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dispenser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. Να μπορεί να χρησιμοποιηθεί στις εξής πειραματικές συνθήκες: 1%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agarose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gel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, 4.5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V</w:t>
            </w:r>
            <w:r w:rsidRPr="00034759">
              <w:rPr>
                <w:rFonts w:ascii="Calibri" w:eastAsia="Times New Roman" w:hAnsi="Calibri" w:cs="Calibri"/>
                <w:color w:val="000000"/>
              </w:rPr>
              <w:t>/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cm</w:t>
            </w:r>
            <w:r w:rsidRPr="00034759">
              <w:rPr>
                <w:rFonts w:ascii="Calibri" w:eastAsia="Times New Roman" w:hAnsi="Calibri" w:cs="Calibri"/>
                <w:color w:val="000000"/>
              </w:rPr>
              <w:t>, 15°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C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for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48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hours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Switch times ramped from 5-120 seconds.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Συκευ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ασία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γι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α 50 assays 0,05 ml.</w:t>
            </w:r>
          </w:p>
        </w:tc>
        <w:tc>
          <w:tcPr>
            <w:tcW w:w="576" w:type="pct"/>
          </w:tcPr>
          <w:p w14:paraId="7E8FA498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</w:tcPr>
          <w:p w14:paraId="67AA544D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</w:tcPr>
          <w:p w14:paraId="0C70FC32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34759" w:rsidRPr="00034759" w14:paraId="2F641C8E" w14:textId="77777777" w:rsidTr="002D4749">
        <w:trPr>
          <w:trHeight w:val="193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249FA173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2600" w:type="pct"/>
            <w:vAlign w:val="center"/>
          </w:tcPr>
          <w:p w14:paraId="1B0179D1" w14:textId="77777777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Calibri"/>
              </w:rPr>
              <w:t xml:space="preserve">Πλαστικοποιημένες ταινίες διαβαθμισμένης συγκέντρωσης </w:t>
            </w:r>
            <w:r w:rsidRPr="00034759">
              <w:rPr>
                <w:rFonts w:ascii="Calibri" w:eastAsia="Times New Roman" w:hAnsi="Calibri" w:cs="Calibri"/>
                <w:lang w:val="en-US"/>
              </w:rPr>
              <w:t>Azithromycin</w:t>
            </w:r>
            <w:r w:rsidRPr="00034759">
              <w:rPr>
                <w:rFonts w:ascii="Calibri" w:eastAsia="Times New Roman" w:hAnsi="Calibri" w:cs="Calibri"/>
              </w:rPr>
              <w:t xml:space="preserve"> (</w:t>
            </w:r>
            <w:r w:rsidRPr="00034759">
              <w:rPr>
                <w:rFonts w:ascii="Calibri" w:eastAsia="Times New Roman" w:hAnsi="Calibri" w:cs="Calibri"/>
                <w:lang w:val="en-US"/>
              </w:rPr>
              <w:t>AZ</w:t>
            </w:r>
            <w:r w:rsidRPr="00034759">
              <w:rPr>
                <w:rFonts w:ascii="Calibri" w:eastAsia="Times New Roman" w:hAnsi="Calibri" w:cs="Calibri"/>
              </w:rPr>
              <w:t>) σε φάσμα συγκεντρώσεων 0,016-256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>/</w:t>
            </w:r>
            <w:r w:rsidRPr="00034759">
              <w:rPr>
                <w:rFonts w:ascii="Calibri" w:eastAsia="Times New Roman" w:hAnsi="Calibri" w:cs="Calibri"/>
                <w:lang w:val="en-US"/>
              </w:rPr>
              <w:t>L</w:t>
            </w:r>
            <w:r w:rsidRPr="00034759">
              <w:rPr>
                <w:rFonts w:ascii="Calibri" w:eastAsia="Times New Roman" w:hAnsi="Calibri" w:cs="Calibri"/>
              </w:rPr>
              <w:t xml:space="preserve">, για ποσοτικό προσδιορισμό της ευαισθησίας βακτηρίων στο αντιβιοτικό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αζιθρομυκίνη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>, σε τιμές Ελάχιστης Ανασταλτικής Συγκέντρωσης (</w:t>
            </w:r>
            <w:r w:rsidRPr="00034759">
              <w:rPr>
                <w:rFonts w:ascii="Calibri" w:eastAsia="Times New Roman" w:hAnsi="Calibri" w:cs="Calibri"/>
                <w:lang w:val="en-US"/>
              </w:rPr>
              <w:t>MIC</w:t>
            </w:r>
            <w:r w:rsidRPr="00034759">
              <w:rPr>
                <w:rFonts w:ascii="Calibri" w:eastAsia="Times New Roman" w:hAnsi="Calibri" w:cs="Calibri"/>
              </w:rPr>
              <w:t xml:space="preserve">). Οι ταινίες πρέπει να περιλαμβάνουν 29 (15 διαδοχικά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υποδιπλάσιες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Προσφερόμενες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σε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συσκευ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ασία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των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100 τα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ινιών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>.</w:t>
            </w:r>
          </w:p>
        </w:tc>
        <w:tc>
          <w:tcPr>
            <w:tcW w:w="576" w:type="pct"/>
          </w:tcPr>
          <w:p w14:paraId="22AB13E1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</w:tcPr>
          <w:p w14:paraId="1826671F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</w:tcPr>
          <w:p w14:paraId="144ED593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34759" w:rsidRPr="00034759" w14:paraId="3EE0529C" w14:textId="77777777" w:rsidTr="002D4749">
        <w:trPr>
          <w:trHeight w:val="97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2EA8373F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600" w:type="pct"/>
            <w:vAlign w:val="center"/>
          </w:tcPr>
          <w:p w14:paraId="065C468E" w14:textId="77777777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Calibri"/>
              </w:rPr>
              <w:t xml:space="preserve">Πλαστικοποιημένες ταινίες διαβαθμισμένης συγκέντρωσης </w:t>
            </w:r>
            <w:r w:rsidRPr="00034759">
              <w:rPr>
                <w:rFonts w:ascii="Calibri" w:eastAsia="Times New Roman" w:hAnsi="Calibri" w:cs="Calibri"/>
                <w:lang w:val="en-US"/>
              </w:rPr>
              <w:t>Cefixime</w:t>
            </w:r>
            <w:r w:rsidRPr="00034759">
              <w:rPr>
                <w:rFonts w:ascii="Calibri" w:eastAsia="Times New Roman" w:hAnsi="Calibri" w:cs="Calibri"/>
              </w:rPr>
              <w:t xml:space="preserve"> (ΙΧ) σε φάσμα συγκεντρώσεων 0,002-32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>/</w:t>
            </w:r>
            <w:r w:rsidRPr="00034759">
              <w:rPr>
                <w:rFonts w:ascii="Calibri" w:eastAsia="Times New Roman" w:hAnsi="Calibri" w:cs="Calibri"/>
                <w:lang w:val="en-US"/>
              </w:rPr>
              <w:t>L</w:t>
            </w:r>
            <w:r w:rsidRPr="00034759">
              <w:rPr>
                <w:rFonts w:ascii="Calibri" w:eastAsia="Times New Roman" w:hAnsi="Calibri" w:cs="Calibri"/>
              </w:rPr>
              <w:t xml:space="preserve">, για ποσοτικό προσδιορισμό της ευαισθησίας βακτηρίων στο αντιβιοτικό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κεφιξίμη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σε τιμές Ελάχιστης Ανασταλτικής Συγκέντρωσης (</w:t>
            </w:r>
            <w:r w:rsidRPr="00034759">
              <w:rPr>
                <w:rFonts w:ascii="Calibri" w:eastAsia="Times New Roman" w:hAnsi="Calibri" w:cs="Calibri"/>
                <w:lang w:val="en-US"/>
              </w:rPr>
              <w:t>MIC</w:t>
            </w:r>
            <w:r w:rsidRPr="00034759">
              <w:rPr>
                <w:rFonts w:ascii="Calibri" w:eastAsia="Times New Roman" w:hAnsi="Calibri" w:cs="Calibri"/>
              </w:rPr>
              <w:t xml:space="preserve">). Οι ταινίες πρέπει να περιλαμβάνουν 29 (15 διαδοχικά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υποδιπλάσιες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Προσφερόμενες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σε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συσκευ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ασία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των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100 τα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ινιών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>.</w:t>
            </w:r>
          </w:p>
        </w:tc>
        <w:tc>
          <w:tcPr>
            <w:tcW w:w="576" w:type="pct"/>
          </w:tcPr>
          <w:p w14:paraId="1D0B60D2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</w:tcPr>
          <w:p w14:paraId="588E2AB6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</w:tcPr>
          <w:p w14:paraId="61095A76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34759" w:rsidRPr="00034759" w14:paraId="0896AF16" w14:textId="77777777" w:rsidTr="002D4749">
        <w:trPr>
          <w:trHeight w:val="6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3ECDFA2C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600" w:type="pct"/>
            <w:vAlign w:val="center"/>
          </w:tcPr>
          <w:p w14:paraId="7F03391B" w14:textId="77777777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Calibri"/>
              </w:rPr>
              <w:t xml:space="preserve">Πλαστικοποιημένες ταινίες διαβαθμισμένης συγκέντρωσης </w:t>
            </w:r>
            <w:r w:rsidRPr="00034759">
              <w:rPr>
                <w:rFonts w:ascii="Calibri" w:eastAsia="Times New Roman" w:hAnsi="Calibri" w:cs="Calibri"/>
                <w:lang w:val="en-US"/>
              </w:rPr>
              <w:t>Ceftriaxone</w:t>
            </w:r>
            <w:r w:rsidRPr="00034759">
              <w:rPr>
                <w:rFonts w:ascii="Calibri" w:eastAsia="Times New Roman" w:hAnsi="Calibri" w:cs="Calibri"/>
              </w:rPr>
              <w:t xml:space="preserve"> (</w:t>
            </w:r>
            <w:r w:rsidRPr="00034759">
              <w:rPr>
                <w:rFonts w:ascii="Calibri" w:eastAsia="Times New Roman" w:hAnsi="Calibri" w:cs="Calibri"/>
                <w:lang w:val="en-US"/>
              </w:rPr>
              <w:t>TXL</w:t>
            </w:r>
            <w:r w:rsidRPr="00034759">
              <w:rPr>
                <w:rFonts w:ascii="Calibri" w:eastAsia="Times New Roman" w:hAnsi="Calibri" w:cs="Calibri"/>
              </w:rPr>
              <w:t>) σε χαμηλό φάσμα συγκεντρώσεων (</w:t>
            </w:r>
            <w:r w:rsidRPr="00034759">
              <w:rPr>
                <w:rFonts w:ascii="Calibri" w:eastAsia="Times New Roman" w:hAnsi="Calibri" w:cs="Calibri"/>
                <w:lang w:val="en-US"/>
              </w:rPr>
              <w:t>Low</w:t>
            </w:r>
            <w:r w:rsidRPr="00034759">
              <w:rPr>
                <w:rFonts w:ascii="Calibri" w:eastAsia="Times New Roman" w:hAnsi="Calibri" w:cs="Calibri"/>
              </w:rPr>
              <w:t>-</w:t>
            </w:r>
            <w:r w:rsidRPr="00034759">
              <w:rPr>
                <w:rFonts w:ascii="Calibri" w:eastAsia="Times New Roman" w:hAnsi="Calibri" w:cs="Calibri"/>
                <w:lang w:val="en-US"/>
              </w:rPr>
              <w:t>range</w:t>
            </w:r>
            <w:r w:rsidRPr="00034759">
              <w:rPr>
                <w:rFonts w:ascii="Calibri" w:eastAsia="Times New Roman" w:hAnsi="Calibri" w:cs="Calibri"/>
              </w:rPr>
              <w:t>: 0.002-32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>/</w:t>
            </w:r>
            <w:r w:rsidRPr="00034759">
              <w:rPr>
                <w:rFonts w:ascii="Calibri" w:eastAsia="Times New Roman" w:hAnsi="Calibri" w:cs="Calibri"/>
                <w:lang w:val="en-US"/>
              </w:rPr>
              <w:t>L</w:t>
            </w:r>
            <w:r w:rsidRPr="00034759">
              <w:rPr>
                <w:rFonts w:ascii="Calibri" w:eastAsia="Times New Roman" w:hAnsi="Calibri" w:cs="Calibri"/>
              </w:rPr>
              <w:t xml:space="preserve">), για ποσοτικό προσδιορισμό της </w:t>
            </w:r>
            <w:r w:rsidRPr="00034759">
              <w:rPr>
                <w:rFonts w:ascii="Calibri" w:eastAsia="Times New Roman" w:hAnsi="Calibri" w:cs="Calibri"/>
              </w:rPr>
              <w:lastRenderedPageBreak/>
              <w:t xml:space="preserve">ευαισθησίας βακτηρίων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στ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>o</w:t>
            </w:r>
            <w:r w:rsidRPr="00034759">
              <w:rPr>
                <w:rFonts w:ascii="Calibri" w:eastAsia="Times New Roman" w:hAnsi="Calibri" w:cs="Calibri"/>
              </w:rPr>
              <w:t xml:space="preserve"> αντιβιοτικό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Κεφτριαξόνη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σε τιμές Ελάχιστης Ανασταλτικής Συγκέντρωσης (</w:t>
            </w:r>
            <w:r w:rsidRPr="00034759">
              <w:rPr>
                <w:rFonts w:ascii="Calibri" w:eastAsia="Times New Roman" w:hAnsi="Calibri" w:cs="Calibri"/>
                <w:lang w:val="en-US"/>
              </w:rPr>
              <w:t>MIC</w:t>
            </w:r>
            <w:r w:rsidRPr="00034759">
              <w:rPr>
                <w:rFonts w:ascii="Calibri" w:eastAsia="Times New Roman" w:hAnsi="Calibri" w:cs="Calibri"/>
              </w:rPr>
              <w:t xml:space="preserve">). Οι ταινίες πρέπει να περιλαμβάνουν 29 (15 διαδοχικά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υποδιπλάσιες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Προσφερόμενες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σε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συσκευ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ασία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των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30 τα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ινιών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>.</w:t>
            </w:r>
          </w:p>
        </w:tc>
        <w:tc>
          <w:tcPr>
            <w:tcW w:w="576" w:type="pct"/>
          </w:tcPr>
          <w:p w14:paraId="39B2B9D2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</w:tcPr>
          <w:p w14:paraId="188F6E41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</w:tcPr>
          <w:p w14:paraId="51857998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34759" w:rsidRPr="00034759" w14:paraId="5B51934C" w14:textId="77777777" w:rsidTr="002D4749">
        <w:trPr>
          <w:trHeight w:val="6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17C7A3EE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lastRenderedPageBreak/>
              <w:t>12</w:t>
            </w:r>
          </w:p>
        </w:tc>
        <w:tc>
          <w:tcPr>
            <w:tcW w:w="2600" w:type="pct"/>
            <w:vAlign w:val="center"/>
          </w:tcPr>
          <w:p w14:paraId="60E89922" w14:textId="77777777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Calibri"/>
              </w:rPr>
              <w:t xml:space="preserve">Πλαστικοποιημένες ταινίες διαβαθμισμένης συγκέντρωσης </w:t>
            </w:r>
            <w:r w:rsidRPr="00034759">
              <w:rPr>
                <w:rFonts w:ascii="Calibri" w:eastAsia="Times New Roman" w:hAnsi="Calibri" w:cs="Calibri"/>
                <w:lang w:val="en-US"/>
              </w:rPr>
              <w:t>Ciprofloxacin</w:t>
            </w:r>
            <w:r w:rsidRPr="00034759">
              <w:rPr>
                <w:rFonts w:ascii="Calibri" w:eastAsia="Times New Roman" w:hAnsi="Calibri" w:cs="Calibri"/>
              </w:rPr>
              <w:t xml:space="preserve"> (</w:t>
            </w:r>
            <w:r w:rsidRPr="00034759">
              <w:rPr>
                <w:rFonts w:ascii="Calibri" w:eastAsia="Times New Roman" w:hAnsi="Calibri" w:cs="Calibri"/>
                <w:lang w:val="en-US"/>
              </w:rPr>
              <w:t>CI</w:t>
            </w:r>
            <w:r w:rsidRPr="00034759">
              <w:rPr>
                <w:rFonts w:ascii="Calibri" w:eastAsia="Times New Roman" w:hAnsi="Calibri" w:cs="Calibri"/>
              </w:rPr>
              <w:t>) σε φάσμα συγκεντρώσεων 0.002-32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>/</w:t>
            </w:r>
            <w:r w:rsidRPr="00034759">
              <w:rPr>
                <w:rFonts w:ascii="Calibri" w:eastAsia="Times New Roman" w:hAnsi="Calibri" w:cs="Calibri"/>
                <w:lang w:val="en-US"/>
              </w:rPr>
              <w:t>L</w:t>
            </w:r>
            <w:r w:rsidRPr="00034759">
              <w:rPr>
                <w:rFonts w:ascii="Calibri" w:eastAsia="Times New Roman" w:hAnsi="Calibri" w:cs="Calibri"/>
              </w:rPr>
              <w:t xml:space="preserve">, για ποσοτικό προσδιορισμό της ευαισθησίας βακτηρίων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στ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>o</w:t>
            </w:r>
            <w:r w:rsidRPr="00034759">
              <w:rPr>
                <w:rFonts w:ascii="Calibri" w:eastAsia="Times New Roman" w:hAnsi="Calibri" w:cs="Calibri"/>
              </w:rPr>
              <w:t xml:space="preserve"> αντιβιοτικό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Σιπροφλοξακίνη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>, σε τιμές Ελάχιστης Ανασταλτικής Συγκέντρωσης (</w:t>
            </w:r>
            <w:r w:rsidRPr="00034759">
              <w:rPr>
                <w:rFonts w:ascii="Calibri" w:eastAsia="Times New Roman" w:hAnsi="Calibri" w:cs="Calibri"/>
                <w:lang w:val="en-US"/>
              </w:rPr>
              <w:t>MIC</w:t>
            </w:r>
            <w:r w:rsidRPr="00034759">
              <w:rPr>
                <w:rFonts w:ascii="Calibri" w:eastAsia="Times New Roman" w:hAnsi="Calibri" w:cs="Calibri"/>
              </w:rPr>
              <w:t xml:space="preserve">). Οι ταινίες πρέπει να περιλαμβάνουν 29 (15 διαδοχικά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υποδιπλάσιες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Προσφερόμενες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σε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συσκευ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ασία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των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30 τα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ινιών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>.</w:t>
            </w:r>
          </w:p>
        </w:tc>
        <w:tc>
          <w:tcPr>
            <w:tcW w:w="576" w:type="pct"/>
          </w:tcPr>
          <w:p w14:paraId="5647859E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</w:tcPr>
          <w:p w14:paraId="10DDD731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</w:tcPr>
          <w:p w14:paraId="29952FA5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34759" w:rsidRPr="00034759" w14:paraId="7323A99D" w14:textId="77777777" w:rsidTr="00034759">
        <w:trPr>
          <w:trHeight w:val="558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638CB9F3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2600" w:type="pct"/>
            <w:vAlign w:val="center"/>
          </w:tcPr>
          <w:p w14:paraId="28C69C56" w14:textId="77777777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034759">
              <w:rPr>
                <w:rFonts w:ascii="Calibri" w:eastAsia="Times New Roman" w:hAnsi="Calibri" w:cs="Calibri"/>
              </w:rPr>
              <w:t>Πλαστικοποιημένες ταινίες διαβαθμισμένης συγκέντρωσης</w:t>
            </w:r>
            <w:r w:rsidRPr="00034759">
              <w:rPr>
                <w:rFonts w:ascii="Calibri" w:eastAsia="Times New Roman" w:hAnsi="Calibri" w:cs="Calibri"/>
                <w:lang w:val="en-US"/>
              </w:rPr>
              <w:t>Spectinomycin</w:t>
            </w:r>
            <w:r w:rsidRPr="00034759">
              <w:rPr>
                <w:rFonts w:ascii="Calibri" w:eastAsia="Times New Roman" w:hAnsi="Calibri" w:cs="Calibri"/>
              </w:rPr>
              <w:t xml:space="preserve"> (</w:t>
            </w:r>
            <w:r w:rsidRPr="00034759">
              <w:rPr>
                <w:rFonts w:ascii="Calibri" w:eastAsia="Times New Roman" w:hAnsi="Calibri" w:cs="Calibri"/>
                <w:lang w:val="en-US"/>
              </w:rPr>
              <w:t>SC</w:t>
            </w:r>
            <w:r w:rsidRPr="00034759">
              <w:rPr>
                <w:rFonts w:ascii="Calibri" w:eastAsia="Times New Roman" w:hAnsi="Calibri" w:cs="Calibri"/>
              </w:rPr>
              <w:t>) σε φάσμα συγκεντρώσεων 0,064-1024</w:t>
            </w:r>
            <w:r w:rsidRPr="00034759">
              <w:rPr>
                <w:rFonts w:ascii="Calibri" w:eastAsia="Times New Roman" w:hAnsi="Calibri" w:cs="Calibri"/>
                <w:lang w:val="en-US"/>
              </w:rPr>
              <w:t>mg</w:t>
            </w:r>
            <w:r w:rsidRPr="00034759">
              <w:rPr>
                <w:rFonts w:ascii="Calibri" w:eastAsia="Times New Roman" w:hAnsi="Calibri" w:cs="Calibri"/>
              </w:rPr>
              <w:t>/</w:t>
            </w:r>
            <w:r w:rsidRPr="00034759">
              <w:rPr>
                <w:rFonts w:ascii="Calibri" w:eastAsia="Times New Roman" w:hAnsi="Calibri" w:cs="Calibri"/>
                <w:lang w:val="en-US"/>
              </w:rPr>
              <w:t>L</w:t>
            </w:r>
            <w:r w:rsidRPr="00034759">
              <w:rPr>
                <w:rFonts w:ascii="Calibri" w:eastAsia="Times New Roman" w:hAnsi="Calibri" w:cs="Calibri"/>
              </w:rPr>
              <w:t xml:space="preserve">, για ποσοτικό προσδιορισμό της ευαισθησίας βακτηρίων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στ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>o</w:t>
            </w:r>
            <w:r w:rsidRPr="00034759">
              <w:rPr>
                <w:rFonts w:ascii="Calibri" w:eastAsia="Times New Roman" w:hAnsi="Calibri" w:cs="Calibri"/>
              </w:rPr>
              <w:t xml:space="preserve"> αντιβιοτικό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Σπεκτινομυκίνη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>, σε τιμές Ελάχιστης Ανασταλτικής Συγκέντρωσης (</w:t>
            </w:r>
            <w:r w:rsidRPr="00034759">
              <w:rPr>
                <w:rFonts w:ascii="Calibri" w:eastAsia="Times New Roman" w:hAnsi="Calibri" w:cs="Calibri"/>
                <w:lang w:val="en-US"/>
              </w:rPr>
              <w:t>MIC</w:t>
            </w:r>
            <w:r w:rsidRPr="00034759">
              <w:rPr>
                <w:rFonts w:ascii="Calibri" w:eastAsia="Times New Roman" w:hAnsi="Calibri" w:cs="Calibri"/>
              </w:rPr>
              <w:t xml:space="preserve">). Οι ταινίες πρέπει να περιλαμβάνουν 29 (15 διαδοχικά </w:t>
            </w:r>
            <w:proofErr w:type="spellStart"/>
            <w:r w:rsidRPr="00034759">
              <w:rPr>
                <w:rFonts w:ascii="Calibri" w:eastAsia="Times New Roman" w:hAnsi="Calibri" w:cs="Calibri"/>
              </w:rPr>
              <w:t>υποδιπλάσιες</w:t>
            </w:r>
            <w:proofErr w:type="spellEnd"/>
            <w:r w:rsidRPr="00034759">
              <w:rPr>
                <w:rFonts w:ascii="Calibri" w:eastAsia="Times New Roman" w:hAnsi="Calibri" w:cs="Calibri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</w:t>
            </w:r>
            <w:r w:rsidRPr="00034759">
              <w:rPr>
                <w:rFonts w:ascii="Calibri" w:eastAsia="Times New Roman" w:hAnsi="Calibri" w:cs="Calibri"/>
              </w:rPr>
              <w:lastRenderedPageBreak/>
              <w:t xml:space="preserve">θρεπτικού μέσου.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Προσφερόμενες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σε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συσκευ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ασία 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των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 xml:space="preserve"> 30 τα</w:t>
            </w:r>
            <w:proofErr w:type="spellStart"/>
            <w:r w:rsidRPr="00034759">
              <w:rPr>
                <w:rFonts w:ascii="Calibri" w:eastAsia="Times New Roman" w:hAnsi="Calibri" w:cs="Calibri"/>
                <w:lang w:val="en-US"/>
              </w:rPr>
              <w:t>ινιών</w:t>
            </w:r>
            <w:proofErr w:type="spellEnd"/>
            <w:r w:rsidRPr="00034759">
              <w:rPr>
                <w:rFonts w:ascii="Calibri" w:eastAsia="Times New Roman" w:hAnsi="Calibri" w:cs="Calibri"/>
                <w:lang w:val="en-US"/>
              </w:rPr>
              <w:t>.</w:t>
            </w:r>
          </w:p>
        </w:tc>
        <w:tc>
          <w:tcPr>
            <w:tcW w:w="576" w:type="pct"/>
          </w:tcPr>
          <w:p w14:paraId="666848C9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3" w:type="pct"/>
          </w:tcPr>
          <w:p w14:paraId="49BD340A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</w:tcPr>
          <w:p w14:paraId="7A82487C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34759" w:rsidRPr="00034759" w14:paraId="1E1EF575" w14:textId="77777777" w:rsidTr="002D4749">
        <w:trPr>
          <w:trHeight w:val="698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14:paraId="3A2EF3E1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0347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lastRenderedPageBreak/>
              <w:t>14</w:t>
            </w:r>
          </w:p>
        </w:tc>
        <w:tc>
          <w:tcPr>
            <w:tcW w:w="2600" w:type="pct"/>
            <w:vAlign w:val="center"/>
          </w:tcPr>
          <w:p w14:paraId="364EE4B7" w14:textId="7167B7FA" w:rsidR="00034759" w:rsidRPr="00034759" w:rsidRDefault="00034759" w:rsidP="0003475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Κιτ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γι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α απ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ομόνωση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μεγάλων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πλα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σμιδίων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εύρους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3–50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kbp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, και π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ολύ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μεγάλων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constructs</w:t>
            </w:r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(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1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constructs</w:t>
            </w:r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BACs</w:t>
            </w:r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PACs</w:t>
            </w:r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)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έως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300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kbp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από α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ρχικό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όγκο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E</w:t>
            </w:r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.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coli</w:t>
            </w:r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κα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>λλιέργει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ας 100–500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mL</w:t>
            </w:r>
            <w:r w:rsidRPr="00034759">
              <w:rPr>
                <w:rFonts w:ascii="Calibri" w:eastAsia="Times New Roman" w:hAnsi="Calibri" w:cs="Calibri"/>
                <w:color w:val="000000"/>
                <w:lang w:val="en-GB"/>
              </w:rPr>
              <w:t xml:space="preserve">. 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Η διαδικασία να επιτυγχάνεται με χρωματογραφία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ιονανταλλαγής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. Η στήλη να είναι σχεδιασμένη έτσι ώστε η διαδικασία να μην διαρκεί περισσότερο από 120 λεπτά για 2–4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preps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και να μπορεί να δεσμεύσει έως 500 μ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πλασμιδικού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DNA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. Να περιλαμβάνεται φίλτρο ώστε το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lysate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να μπορεί να φορτωθεί απευθείας στην στήλη.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N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α έχει τυπική απόδοση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DNA</w:t>
            </w:r>
            <w:r w:rsidRPr="00034759">
              <w:rPr>
                <w:rFonts w:ascii="Calibri" w:eastAsia="Times New Roman" w:hAnsi="Calibri" w:cs="Calibri"/>
                <w:color w:val="000000"/>
              </w:rPr>
              <w:t>: 10–100 µ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. Να παρέχει υψηλής καθαρότητας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πλασμιδιακού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DNA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κατάλληλο για κλωνοποίηση,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sequencing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PCR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transformation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, και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restriction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analysis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. Τα επίπεδα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</w:rPr>
              <w:t>ενδοτοξίνης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 να είναι 1−10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EU</w:t>
            </w:r>
            <w:r w:rsidRPr="00034759">
              <w:rPr>
                <w:rFonts w:ascii="Calibri" w:eastAsia="Times New Roman" w:hAnsi="Calibri" w:cs="Calibri"/>
                <w:color w:val="000000"/>
              </w:rPr>
              <w:t>/µ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DNA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To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kit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να περιλαμβάνει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Resuspension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Buffer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S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1,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Lysis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Buffer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s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S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Neutralization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Buffer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S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3,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Equilibration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Buffer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N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2,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Wash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Buffer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N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3,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Elution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Buffer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N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5,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Rnase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lyophilized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) και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BAC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Columns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που να περιέχουν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XL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Folded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Filters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Plastic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Washers</w:t>
            </w:r>
            <w:r w:rsidRPr="00034759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Συσκευ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ασία 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γι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α 10 απ</w:t>
            </w:r>
            <w:proofErr w:type="spellStart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ομονώσεις</w:t>
            </w:r>
            <w:proofErr w:type="spellEnd"/>
            <w:r w:rsidRPr="00034759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576" w:type="pct"/>
          </w:tcPr>
          <w:p w14:paraId="0BA9227D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503" w:type="pct"/>
          </w:tcPr>
          <w:p w14:paraId="729CDF5D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pct"/>
          </w:tcPr>
          <w:p w14:paraId="0731D758" w14:textId="77777777" w:rsidR="00034759" w:rsidRPr="00034759" w:rsidRDefault="00034759" w:rsidP="000347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</w:tr>
    </w:tbl>
    <w:p w14:paraId="24BB3C9B" w14:textId="77777777" w:rsidR="00034759" w:rsidRPr="00034759" w:rsidRDefault="00034759" w:rsidP="00034759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p w14:paraId="3E10DB81" w14:textId="77777777" w:rsidR="00034759" w:rsidRPr="00034759" w:rsidRDefault="00034759" w:rsidP="00034759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p w14:paraId="27C1AB7F" w14:textId="77777777" w:rsidR="00034759" w:rsidRPr="00034759" w:rsidRDefault="00034759" w:rsidP="00034759">
      <w:pPr>
        <w:spacing w:after="0" w:line="252" w:lineRule="auto"/>
        <w:jc w:val="both"/>
        <w:rPr>
          <w:rFonts w:ascii="Calibri" w:eastAsia="Times New Roman" w:hAnsi="Calibri" w:cs="Calibri"/>
          <w:b/>
          <w:bCs/>
          <w:u w:val="single"/>
        </w:rPr>
      </w:pPr>
    </w:p>
    <w:p w14:paraId="4BDCF37D" w14:textId="77777777" w:rsidR="00034759" w:rsidRPr="00034759" w:rsidRDefault="00034759" w:rsidP="00034759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p w14:paraId="7675DFC5" w14:textId="77777777" w:rsidR="00034759" w:rsidRPr="00034759" w:rsidRDefault="00034759" w:rsidP="00034759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p w14:paraId="23166ED8" w14:textId="77777777" w:rsidR="00034759" w:rsidRPr="00034759" w:rsidRDefault="00034759" w:rsidP="00034759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p w14:paraId="2EA72C10" w14:textId="77777777" w:rsidR="00034759" w:rsidRPr="00034759" w:rsidRDefault="00034759" w:rsidP="00034759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p w14:paraId="5E522240" w14:textId="77777777" w:rsidR="00034759" w:rsidRPr="00034759" w:rsidRDefault="00034759" w:rsidP="00034759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p w14:paraId="0FF8D32F" w14:textId="77777777" w:rsidR="00034759" w:rsidRPr="00034759" w:rsidRDefault="00034759" w:rsidP="00034759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p w14:paraId="57CA750F" w14:textId="77777777" w:rsidR="00034759" w:rsidRPr="00034759" w:rsidRDefault="00034759" w:rsidP="00034759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p w14:paraId="14B924A1" w14:textId="77777777" w:rsidR="00034759" w:rsidRDefault="00034759"/>
    <w:sectPr w:rsidR="00034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59"/>
    <w:rsid w:val="00034759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DC73"/>
  <w15:chartTrackingRefBased/>
  <w15:docId w15:val="{E4990055-6137-4113-B0A4-CDB8E470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Μαίδης</dc:creator>
  <cp:keywords/>
  <dc:description/>
  <cp:lastModifiedBy>Maria Apostolaki</cp:lastModifiedBy>
  <cp:revision>2</cp:revision>
  <dcterms:created xsi:type="dcterms:W3CDTF">2020-12-01T08:54:00Z</dcterms:created>
  <dcterms:modified xsi:type="dcterms:W3CDTF">2020-12-01T08:54:00Z</dcterms:modified>
</cp:coreProperties>
</file>