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21A" w:rsidRDefault="0045321A" w:rsidP="0045321A">
      <w:pPr>
        <w:suppressAutoHyphens w:val="0"/>
        <w:autoSpaceDE w:val="0"/>
        <w:spacing w:before="57" w:after="57"/>
        <w:rPr>
          <w:rFonts w:eastAsia="SimSun"/>
          <w:b/>
          <w:iCs/>
          <w:szCs w:val="22"/>
          <w:u w:val="single"/>
          <w:lang w:val="el-GR"/>
        </w:rPr>
      </w:pPr>
      <w:bookmarkStart w:id="0" w:name="_GoBack"/>
      <w:bookmarkEnd w:id="0"/>
      <w:r w:rsidRPr="006F337B">
        <w:rPr>
          <w:rFonts w:eastAsia="SimSun"/>
          <w:b/>
          <w:iCs/>
          <w:szCs w:val="22"/>
          <w:u w:val="single"/>
          <w:lang w:val="el-GR"/>
        </w:rPr>
        <w:t xml:space="preserve">ΠΑΡΑΡΤΗΜΑ ΙΙ ΦΥΛΛΟ ΣΥΜΜΟΡΦΩΣΗΣ </w:t>
      </w:r>
    </w:p>
    <w:p w:rsidR="0045321A" w:rsidRDefault="0045321A" w:rsidP="0045321A">
      <w:pPr>
        <w:suppressAutoHyphens w:val="0"/>
        <w:autoSpaceDE w:val="0"/>
        <w:spacing w:before="57" w:after="57"/>
        <w:rPr>
          <w:rFonts w:eastAsia="SimSun"/>
          <w:b/>
          <w:iCs/>
          <w:szCs w:val="22"/>
          <w:u w:val="single"/>
          <w:lang w:val="el-GR"/>
        </w:rPr>
      </w:pPr>
    </w:p>
    <w:p w:rsidR="0045321A" w:rsidRDefault="0045321A" w:rsidP="0045321A">
      <w:pPr>
        <w:suppressAutoHyphens w:val="0"/>
        <w:autoSpaceDE w:val="0"/>
        <w:spacing w:before="57" w:after="57"/>
        <w:rPr>
          <w:rFonts w:eastAsia="SimSun"/>
          <w:b/>
          <w:iCs/>
          <w:szCs w:val="22"/>
          <w:u w:val="single"/>
          <w:lang w:val="el-GR"/>
        </w:rPr>
      </w:pPr>
    </w:p>
    <w:p w:rsidR="0045321A" w:rsidRPr="006F337B" w:rsidRDefault="0045321A" w:rsidP="0045321A">
      <w:pPr>
        <w:suppressAutoHyphens w:val="0"/>
        <w:autoSpaceDE w:val="0"/>
        <w:spacing w:before="57" w:after="57"/>
        <w:rPr>
          <w:rFonts w:eastAsia="SimSun"/>
          <w:b/>
          <w:iCs/>
          <w:szCs w:val="22"/>
          <w:u w:val="single"/>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66"/>
        <w:gridCol w:w="1118"/>
        <w:gridCol w:w="1089"/>
        <w:gridCol w:w="2135"/>
      </w:tblGrid>
      <w:tr w:rsidR="0045321A" w:rsidRPr="00636B2B" w:rsidTr="00E97607">
        <w:trPr>
          <w:trHeight w:val="615"/>
        </w:trPr>
        <w:tc>
          <w:tcPr>
            <w:tcW w:w="448" w:type="pct"/>
            <w:shd w:val="clear" w:color="auto" w:fill="auto"/>
            <w:noWrap/>
            <w:vAlign w:val="center"/>
            <w:hideMark/>
          </w:tcPr>
          <w:p w:rsidR="0045321A" w:rsidRPr="00636B2B" w:rsidRDefault="0045321A" w:rsidP="00E97607">
            <w:pPr>
              <w:suppressAutoHyphens w:val="0"/>
              <w:spacing w:after="0"/>
              <w:jc w:val="center"/>
              <w:rPr>
                <w:b/>
                <w:bCs/>
                <w:color w:val="000000"/>
                <w:szCs w:val="22"/>
                <w:lang w:val="el-GR" w:eastAsia="el-GR"/>
              </w:rPr>
            </w:pPr>
            <w:r w:rsidRPr="00636B2B">
              <w:rPr>
                <w:b/>
                <w:bCs/>
                <w:color w:val="000000"/>
                <w:szCs w:val="22"/>
                <w:lang w:val="el-GR" w:eastAsia="el-GR"/>
              </w:rPr>
              <w:t>Α/Α</w:t>
            </w:r>
          </w:p>
        </w:tc>
        <w:tc>
          <w:tcPr>
            <w:tcW w:w="2144" w:type="pct"/>
            <w:shd w:val="clear" w:color="auto" w:fill="auto"/>
            <w:vAlign w:val="center"/>
            <w:hideMark/>
          </w:tcPr>
          <w:p w:rsidR="0045321A" w:rsidRPr="00636B2B" w:rsidRDefault="0045321A" w:rsidP="00E97607">
            <w:pPr>
              <w:suppressAutoHyphens w:val="0"/>
              <w:spacing w:after="0"/>
              <w:jc w:val="center"/>
              <w:rPr>
                <w:b/>
                <w:bCs/>
                <w:color w:val="000000"/>
                <w:szCs w:val="22"/>
                <w:lang w:val="el-GR" w:eastAsia="el-GR"/>
              </w:rPr>
            </w:pPr>
            <w:r w:rsidRPr="00636B2B">
              <w:rPr>
                <w:b/>
                <w:bCs/>
                <w:color w:val="000000"/>
                <w:szCs w:val="22"/>
                <w:lang w:val="el-GR" w:eastAsia="el-GR"/>
              </w:rPr>
              <w:t xml:space="preserve">ΤΕΧΝΙΚΗ ΠΕΡΙΓΡΑΦΗ </w:t>
            </w:r>
          </w:p>
        </w:tc>
        <w:tc>
          <w:tcPr>
            <w:tcW w:w="620" w:type="pct"/>
            <w:shd w:val="clear" w:color="auto" w:fill="auto"/>
            <w:vAlign w:val="center"/>
          </w:tcPr>
          <w:p w:rsidR="0045321A" w:rsidRPr="00636B2B" w:rsidRDefault="0045321A" w:rsidP="00E97607">
            <w:pPr>
              <w:suppressAutoHyphens w:val="0"/>
              <w:spacing w:after="0"/>
              <w:jc w:val="center"/>
              <w:rPr>
                <w:b/>
                <w:bCs/>
                <w:color w:val="000000"/>
                <w:szCs w:val="22"/>
                <w:lang w:val="el-GR" w:eastAsia="el-GR"/>
              </w:rPr>
            </w:pPr>
            <w:r w:rsidRPr="00636B2B">
              <w:rPr>
                <w:b/>
                <w:bCs/>
                <w:color w:val="000000"/>
                <w:szCs w:val="22"/>
                <w:lang w:val="el-GR" w:eastAsia="el-GR"/>
              </w:rPr>
              <w:t>ΝΑΙ</w:t>
            </w:r>
          </w:p>
        </w:tc>
        <w:tc>
          <w:tcPr>
            <w:tcW w:w="604" w:type="pct"/>
            <w:shd w:val="clear" w:color="auto" w:fill="auto"/>
            <w:vAlign w:val="center"/>
          </w:tcPr>
          <w:p w:rsidR="0045321A" w:rsidRPr="00636B2B" w:rsidRDefault="0045321A" w:rsidP="00E97607">
            <w:pPr>
              <w:suppressAutoHyphens w:val="0"/>
              <w:spacing w:after="0"/>
              <w:jc w:val="center"/>
              <w:rPr>
                <w:b/>
                <w:bCs/>
                <w:color w:val="000000"/>
                <w:szCs w:val="22"/>
                <w:lang w:val="el-GR" w:eastAsia="el-GR"/>
              </w:rPr>
            </w:pPr>
            <w:r w:rsidRPr="00636B2B">
              <w:rPr>
                <w:b/>
                <w:bCs/>
                <w:color w:val="000000"/>
                <w:szCs w:val="22"/>
                <w:lang w:val="el-GR" w:eastAsia="el-GR"/>
              </w:rPr>
              <w:t>ΟΧΙ</w:t>
            </w:r>
          </w:p>
        </w:tc>
        <w:tc>
          <w:tcPr>
            <w:tcW w:w="1185" w:type="pct"/>
            <w:shd w:val="clear" w:color="auto" w:fill="auto"/>
            <w:noWrap/>
            <w:vAlign w:val="center"/>
          </w:tcPr>
          <w:p w:rsidR="0045321A" w:rsidRPr="00636B2B" w:rsidRDefault="0045321A" w:rsidP="00E97607">
            <w:pPr>
              <w:suppressAutoHyphens w:val="0"/>
              <w:spacing w:after="0"/>
              <w:jc w:val="center"/>
              <w:rPr>
                <w:b/>
                <w:bCs/>
                <w:color w:val="000000"/>
                <w:szCs w:val="22"/>
                <w:lang w:val="el-GR" w:eastAsia="el-GR"/>
              </w:rPr>
            </w:pPr>
            <w:r w:rsidRPr="00636B2B">
              <w:rPr>
                <w:b/>
                <w:bCs/>
                <w:color w:val="000000"/>
                <w:szCs w:val="22"/>
                <w:lang w:val="el-GR" w:eastAsia="el-GR"/>
              </w:rPr>
              <w:t>ΠΑΡΑΠΟΜΠΗ</w:t>
            </w:r>
          </w:p>
        </w:tc>
      </w:tr>
      <w:tr w:rsidR="0045321A" w:rsidRPr="00636B2B" w:rsidTr="00E97607">
        <w:trPr>
          <w:trHeight w:val="2025"/>
        </w:trPr>
        <w:tc>
          <w:tcPr>
            <w:tcW w:w="448" w:type="pct"/>
            <w:shd w:val="clear" w:color="auto" w:fill="auto"/>
            <w:vAlign w:val="center"/>
            <w:hideMark/>
          </w:tcPr>
          <w:p w:rsidR="0045321A" w:rsidRPr="00636B2B" w:rsidRDefault="0045321A" w:rsidP="00E97607">
            <w:pPr>
              <w:suppressAutoHyphens w:val="0"/>
              <w:spacing w:after="0"/>
              <w:jc w:val="center"/>
              <w:rPr>
                <w:color w:val="000000"/>
                <w:szCs w:val="22"/>
                <w:lang w:val="el-GR" w:eastAsia="el-GR"/>
              </w:rPr>
            </w:pPr>
            <w:r w:rsidRPr="00636B2B">
              <w:rPr>
                <w:color w:val="000000"/>
                <w:szCs w:val="22"/>
                <w:lang w:val="el-GR" w:eastAsia="el-GR"/>
              </w:rPr>
              <w:t>1</w:t>
            </w:r>
          </w:p>
        </w:tc>
        <w:tc>
          <w:tcPr>
            <w:tcW w:w="2144" w:type="pct"/>
            <w:shd w:val="clear" w:color="auto" w:fill="auto"/>
            <w:vAlign w:val="center"/>
            <w:hideMark/>
          </w:tcPr>
          <w:p w:rsidR="0045321A" w:rsidRPr="00636B2B" w:rsidRDefault="0045321A" w:rsidP="00E97607">
            <w:pPr>
              <w:suppressAutoHyphens w:val="0"/>
              <w:spacing w:after="0"/>
              <w:jc w:val="left"/>
              <w:rPr>
                <w:color w:val="000000"/>
                <w:szCs w:val="22"/>
                <w:lang w:val="el-GR" w:eastAsia="el-GR"/>
              </w:rPr>
            </w:pPr>
            <w:r w:rsidRPr="00636B2B">
              <w:rPr>
                <w:color w:val="000000"/>
                <w:szCs w:val="22"/>
                <w:lang w:val="el-GR" w:eastAsia="el-GR"/>
              </w:rPr>
              <w:t xml:space="preserve">Να διατίθεται σε 50% υδατικό διάλυμα το οποίο να περιέχει 30% αιθανόλη. Το μέγεθος των </w:t>
            </w:r>
            <w:proofErr w:type="spellStart"/>
            <w:r w:rsidRPr="00636B2B">
              <w:rPr>
                <w:color w:val="000000"/>
                <w:szCs w:val="22"/>
                <w:lang w:val="el-GR" w:eastAsia="el-GR"/>
              </w:rPr>
              <w:t>beads</w:t>
            </w:r>
            <w:proofErr w:type="spellEnd"/>
            <w:r w:rsidRPr="00636B2B">
              <w:rPr>
                <w:color w:val="000000"/>
                <w:szCs w:val="22"/>
                <w:lang w:val="el-GR" w:eastAsia="el-GR"/>
              </w:rPr>
              <w:t xml:space="preserve"> να είναι 45-165μm. Η ικανότητα δέσμευσης της </w:t>
            </w:r>
            <w:proofErr w:type="spellStart"/>
            <w:r w:rsidRPr="00636B2B">
              <w:rPr>
                <w:color w:val="000000"/>
                <w:szCs w:val="22"/>
                <w:lang w:val="el-GR" w:eastAsia="el-GR"/>
              </w:rPr>
              <w:t>πρωτεϊνης</w:t>
            </w:r>
            <w:proofErr w:type="spellEnd"/>
            <w:r w:rsidRPr="00636B2B">
              <w:rPr>
                <w:color w:val="000000"/>
                <w:szCs w:val="22"/>
                <w:lang w:val="el-GR" w:eastAsia="el-GR"/>
              </w:rPr>
              <w:t xml:space="preserve"> να είναι έως και 50mg/</w:t>
            </w:r>
            <w:proofErr w:type="spellStart"/>
            <w:r w:rsidRPr="00636B2B">
              <w:rPr>
                <w:color w:val="000000"/>
                <w:szCs w:val="22"/>
                <w:lang w:val="el-GR" w:eastAsia="el-GR"/>
              </w:rPr>
              <w:t>ml</w:t>
            </w:r>
            <w:proofErr w:type="spellEnd"/>
            <w:r w:rsidRPr="00636B2B">
              <w:rPr>
                <w:color w:val="000000"/>
                <w:szCs w:val="22"/>
                <w:lang w:val="el-GR" w:eastAsia="el-GR"/>
              </w:rPr>
              <w:t xml:space="preserve">. Να μπορεί να χρησιμοποιηθεί τόσο για την απομόνωση μικρών πρωτεϊνών όσο και μεγάλων πρωτεϊνικών </w:t>
            </w:r>
            <w:proofErr w:type="spellStart"/>
            <w:r w:rsidRPr="00636B2B">
              <w:rPr>
                <w:color w:val="000000"/>
                <w:szCs w:val="22"/>
                <w:lang w:val="el-GR" w:eastAsia="el-GR"/>
              </w:rPr>
              <w:t>συμπλόκων</w:t>
            </w:r>
            <w:proofErr w:type="spellEnd"/>
            <w:r w:rsidRPr="00636B2B">
              <w:rPr>
                <w:color w:val="000000"/>
                <w:szCs w:val="22"/>
                <w:lang w:val="el-GR" w:eastAsia="el-GR"/>
              </w:rPr>
              <w:t xml:space="preserve">. Να μπορεί να χρησιμοποιηθεί για την πλήρωση απλών στηλών </w:t>
            </w:r>
            <w:proofErr w:type="spellStart"/>
            <w:r w:rsidRPr="00636B2B">
              <w:rPr>
                <w:color w:val="000000"/>
                <w:szCs w:val="22"/>
                <w:lang w:val="el-GR" w:eastAsia="el-GR"/>
              </w:rPr>
              <w:t>gravity</w:t>
            </w:r>
            <w:proofErr w:type="spellEnd"/>
            <w:r w:rsidRPr="00636B2B">
              <w:rPr>
                <w:color w:val="000000"/>
                <w:szCs w:val="22"/>
                <w:lang w:val="el-GR" w:eastAsia="el-GR"/>
              </w:rPr>
              <w:t xml:space="preserve"> </w:t>
            </w:r>
            <w:proofErr w:type="spellStart"/>
            <w:r w:rsidRPr="00636B2B">
              <w:rPr>
                <w:color w:val="000000"/>
                <w:szCs w:val="22"/>
                <w:lang w:val="el-GR" w:eastAsia="el-GR"/>
              </w:rPr>
              <w:t>flow</w:t>
            </w:r>
            <w:proofErr w:type="spellEnd"/>
            <w:r w:rsidRPr="00636B2B">
              <w:rPr>
                <w:color w:val="000000"/>
                <w:szCs w:val="22"/>
                <w:lang w:val="el-GR" w:eastAsia="el-GR"/>
              </w:rPr>
              <w:t xml:space="preserve"> αλλά και στηλών FPLC. Η εφαρμοζόμενη μέγιστη ταχύτητα ροής σε FPLC στήλη να είναι 300cm/h. Να φυλάσσεται στους 4-8 βαθμούς Κελσίου. Να διατίθεται σε συσκευασία 100ml.</w:t>
            </w:r>
          </w:p>
        </w:tc>
        <w:tc>
          <w:tcPr>
            <w:tcW w:w="620"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604"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1185" w:type="pct"/>
            <w:shd w:val="clear" w:color="auto" w:fill="auto"/>
            <w:vAlign w:val="center"/>
          </w:tcPr>
          <w:p w:rsidR="0045321A" w:rsidRPr="00636B2B" w:rsidRDefault="0045321A" w:rsidP="00E97607">
            <w:pPr>
              <w:suppressAutoHyphens w:val="0"/>
              <w:spacing w:after="0"/>
              <w:jc w:val="right"/>
              <w:rPr>
                <w:color w:val="000000"/>
                <w:szCs w:val="22"/>
                <w:lang w:val="el-GR" w:eastAsia="el-GR"/>
              </w:rPr>
            </w:pPr>
          </w:p>
        </w:tc>
      </w:tr>
      <w:tr w:rsidR="0045321A" w:rsidRPr="00636B2B" w:rsidTr="00E97607">
        <w:trPr>
          <w:trHeight w:val="1350"/>
        </w:trPr>
        <w:tc>
          <w:tcPr>
            <w:tcW w:w="448" w:type="pct"/>
            <w:shd w:val="clear" w:color="auto" w:fill="auto"/>
            <w:vAlign w:val="center"/>
            <w:hideMark/>
          </w:tcPr>
          <w:p w:rsidR="0045321A" w:rsidRPr="00636B2B" w:rsidRDefault="0045321A" w:rsidP="00E97607">
            <w:pPr>
              <w:suppressAutoHyphens w:val="0"/>
              <w:spacing w:after="0"/>
              <w:jc w:val="center"/>
              <w:rPr>
                <w:color w:val="000000"/>
                <w:szCs w:val="22"/>
                <w:lang w:val="el-GR" w:eastAsia="el-GR"/>
              </w:rPr>
            </w:pPr>
            <w:r w:rsidRPr="00636B2B">
              <w:rPr>
                <w:color w:val="000000"/>
                <w:szCs w:val="22"/>
                <w:lang w:val="el-GR" w:eastAsia="el-GR"/>
              </w:rPr>
              <w:t>2</w:t>
            </w:r>
          </w:p>
        </w:tc>
        <w:tc>
          <w:tcPr>
            <w:tcW w:w="2144" w:type="pct"/>
            <w:shd w:val="clear" w:color="auto" w:fill="auto"/>
            <w:vAlign w:val="center"/>
            <w:hideMark/>
          </w:tcPr>
          <w:p w:rsidR="0045321A" w:rsidRPr="00636B2B" w:rsidRDefault="0045321A" w:rsidP="00E97607">
            <w:pPr>
              <w:suppressAutoHyphens w:val="0"/>
              <w:spacing w:after="0"/>
              <w:jc w:val="left"/>
              <w:rPr>
                <w:color w:val="000000"/>
                <w:szCs w:val="22"/>
                <w:lang w:val="el-GR" w:eastAsia="el-GR"/>
              </w:rPr>
            </w:pPr>
            <w:r w:rsidRPr="00636B2B">
              <w:rPr>
                <w:color w:val="000000"/>
                <w:szCs w:val="22"/>
                <w:lang w:val="el-GR" w:eastAsia="el-GR"/>
              </w:rPr>
              <w:t>Να επιτρέπει την επαναχρησιμοποίηση της ρητίνης συγγένειας σε διάφορα στάδια καθαρισμού.  Να μπορεί να χρησιμοποιηθεί σε συνθήκες υψηλής ροής.  Η δεσμευτική ικανότητα (</w:t>
            </w:r>
            <w:proofErr w:type="spellStart"/>
            <w:r w:rsidRPr="00636B2B">
              <w:rPr>
                <w:color w:val="000000"/>
                <w:szCs w:val="22"/>
                <w:lang w:val="el-GR" w:eastAsia="el-GR"/>
              </w:rPr>
              <w:t>binding</w:t>
            </w:r>
            <w:proofErr w:type="spellEnd"/>
            <w:r w:rsidRPr="00636B2B">
              <w:rPr>
                <w:color w:val="000000"/>
                <w:szCs w:val="22"/>
                <w:lang w:val="el-GR" w:eastAsia="el-GR"/>
              </w:rPr>
              <w:t xml:space="preserve"> </w:t>
            </w:r>
            <w:proofErr w:type="spellStart"/>
            <w:r w:rsidRPr="00636B2B">
              <w:rPr>
                <w:color w:val="000000"/>
                <w:szCs w:val="22"/>
                <w:lang w:val="el-GR" w:eastAsia="el-GR"/>
              </w:rPr>
              <w:t>capacity</w:t>
            </w:r>
            <w:proofErr w:type="spellEnd"/>
            <w:r w:rsidRPr="00636B2B">
              <w:rPr>
                <w:color w:val="000000"/>
                <w:szCs w:val="22"/>
                <w:lang w:val="el-GR" w:eastAsia="el-GR"/>
              </w:rPr>
              <w:t xml:space="preserve">) να είναι 25mg </w:t>
            </w:r>
            <w:proofErr w:type="spellStart"/>
            <w:r w:rsidRPr="00636B2B">
              <w:rPr>
                <w:color w:val="000000"/>
                <w:szCs w:val="22"/>
                <w:lang w:val="el-GR" w:eastAsia="el-GR"/>
              </w:rPr>
              <w:t>human</w:t>
            </w:r>
            <w:proofErr w:type="spellEnd"/>
            <w:r w:rsidRPr="00636B2B">
              <w:rPr>
                <w:color w:val="000000"/>
                <w:szCs w:val="22"/>
                <w:lang w:val="el-GR" w:eastAsia="el-GR"/>
              </w:rPr>
              <w:t xml:space="preserve"> </w:t>
            </w:r>
            <w:proofErr w:type="spellStart"/>
            <w:r w:rsidRPr="00636B2B">
              <w:rPr>
                <w:color w:val="000000"/>
                <w:szCs w:val="22"/>
                <w:lang w:val="el-GR" w:eastAsia="el-GR"/>
              </w:rPr>
              <w:t>IgG</w:t>
            </w:r>
            <w:proofErr w:type="spellEnd"/>
            <w:r w:rsidRPr="00636B2B">
              <w:rPr>
                <w:color w:val="000000"/>
                <w:szCs w:val="22"/>
                <w:lang w:val="el-GR" w:eastAsia="el-GR"/>
              </w:rPr>
              <w:t>/</w:t>
            </w:r>
            <w:proofErr w:type="spellStart"/>
            <w:r w:rsidRPr="00636B2B">
              <w:rPr>
                <w:color w:val="000000"/>
                <w:szCs w:val="22"/>
                <w:lang w:val="el-GR" w:eastAsia="el-GR"/>
              </w:rPr>
              <w:t>ml</w:t>
            </w:r>
            <w:proofErr w:type="spellEnd"/>
            <w:r w:rsidRPr="00636B2B">
              <w:rPr>
                <w:color w:val="000000"/>
                <w:szCs w:val="22"/>
                <w:lang w:val="el-GR" w:eastAsia="el-GR"/>
              </w:rPr>
              <w:t xml:space="preserve"> </w:t>
            </w:r>
            <w:proofErr w:type="spellStart"/>
            <w:r w:rsidRPr="00636B2B">
              <w:rPr>
                <w:color w:val="000000"/>
                <w:szCs w:val="22"/>
                <w:lang w:val="el-GR" w:eastAsia="el-GR"/>
              </w:rPr>
              <w:t>resin</w:t>
            </w:r>
            <w:proofErr w:type="spellEnd"/>
            <w:r w:rsidRPr="00636B2B">
              <w:rPr>
                <w:color w:val="000000"/>
                <w:szCs w:val="22"/>
                <w:lang w:val="el-GR" w:eastAsia="el-GR"/>
              </w:rPr>
              <w:t xml:space="preserve">. Να παρέχεται σε συσκευασία 25 </w:t>
            </w:r>
            <w:proofErr w:type="spellStart"/>
            <w:r w:rsidRPr="00636B2B">
              <w:rPr>
                <w:color w:val="000000"/>
                <w:szCs w:val="22"/>
                <w:lang w:val="el-GR" w:eastAsia="el-GR"/>
              </w:rPr>
              <w:t>ml</w:t>
            </w:r>
            <w:proofErr w:type="spellEnd"/>
            <w:r w:rsidRPr="00636B2B">
              <w:rPr>
                <w:color w:val="000000"/>
                <w:szCs w:val="22"/>
                <w:lang w:val="el-GR" w:eastAsia="el-GR"/>
              </w:rPr>
              <w:t xml:space="preserve"> και να περιέχει </w:t>
            </w:r>
            <w:proofErr w:type="spellStart"/>
            <w:r w:rsidRPr="00636B2B">
              <w:rPr>
                <w:color w:val="000000"/>
                <w:szCs w:val="22"/>
                <w:lang w:val="el-GR" w:eastAsia="el-GR"/>
              </w:rPr>
              <w:t>αντιμικροβιακό</w:t>
            </w:r>
            <w:proofErr w:type="spellEnd"/>
            <w:r w:rsidRPr="00636B2B">
              <w:rPr>
                <w:color w:val="000000"/>
                <w:szCs w:val="22"/>
                <w:lang w:val="el-GR" w:eastAsia="el-GR"/>
              </w:rPr>
              <w:t xml:space="preserve"> παράγοντα, 20% αιθανόλη.</w:t>
            </w:r>
          </w:p>
        </w:tc>
        <w:tc>
          <w:tcPr>
            <w:tcW w:w="620"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604"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1185" w:type="pct"/>
            <w:shd w:val="clear" w:color="auto" w:fill="auto"/>
            <w:vAlign w:val="center"/>
          </w:tcPr>
          <w:p w:rsidR="0045321A" w:rsidRPr="00636B2B" w:rsidRDefault="0045321A" w:rsidP="00E97607">
            <w:pPr>
              <w:suppressAutoHyphens w:val="0"/>
              <w:spacing w:after="0"/>
              <w:jc w:val="right"/>
              <w:rPr>
                <w:color w:val="000000"/>
                <w:szCs w:val="22"/>
                <w:lang w:val="el-GR" w:eastAsia="el-GR"/>
              </w:rPr>
            </w:pPr>
          </w:p>
        </w:tc>
      </w:tr>
      <w:tr w:rsidR="0045321A" w:rsidRPr="00636B2B" w:rsidTr="00E97607">
        <w:trPr>
          <w:trHeight w:val="504"/>
        </w:trPr>
        <w:tc>
          <w:tcPr>
            <w:tcW w:w="448" w:type="pct"/>
            <w:shd w:val="clear" w:color="auto" w:fill="auto"/>
            <w:vAlign w:val="center"/>
            <w:hideMark/>
          </w:tcPr>
          <w:p w:rsidR="0045321A" w:rsidRPr="00636B2B" w:rsidRDefault="0045321A" w:rsidP="00E97607">
            <w:pPr>
              <w:suppressAutoHyphens w:val="0"/>
              <w:spacing w:after="0"/>
              <w:jc w:val="center"/>
              <w:rPr>
                <w:color w:val="000000"/>
                <w:szCs w:val="22"/>
                <w:lang w:val="el-GR" w:eastAsia="el-GR"/>
              </w:rPr>
            </w:pPr>
            <w:r w:rsidRPr="00636B2B">
              <w:rPr>
                <w:color w:val="000000"/>
                <w:szCs w:val="22"/>
                <w:lang w:val="el-GR" w:eastAsia="el-GR"/>
              </w:rPr>
              <w:t>3</w:t>
            </w:r>
          </w:p>
        </w:tc>
        <w:tc>
          <w:tcPr>
            <w:tcW w:w="2144" w:type="pct"/>
            <w:shd w:val="clear" w:color="auto" w:fill="auto"/>
            <w:vAlign w:val="center"/>
            <w:hideMark/>
          </w:tcPr>
          <w:p w:rsidR="0045321A" w:rsidRPr="00636B2B" w:rsidRDefault="0045321A" w:rsidP="00E97607">
            <w:pPr>
              <w:suppressAutoHyphens w:val="0"/>
              <w:spacing w:after="0"/>
              <w:jc w:val="left"/>
              <w:rPr>
                <w:color w:val="000000"/>
                <w:szCs w:val="22"/>
                <w:lang w:val="el-GR" w:eastAsia="el-GR"/>
              </w:rPr>
            </w:pPr>
            <w:proofErr w:type="spellStart"/>
            <w:r w:rsidRPr="00636B2B">
              <w:rPr>
                <w:color w:val="000000"/>
                <w:szCs w:val="22"/>
                <w:lang w:val="el-GR" w:eastAsia="el-GR"/>
              </w:rPr>
              <w:t>Κιτ</w:t>
            </w:r>
            <w:proofErr w:type="spellEnd"/>
            <w:r w:rsidRPr="00636B2B">
              <w:rPr>
                <w:color w:val="000000"/>
                <w:szCs w:val="22"/>
                <w:lang w:val="el-GR" w:eastAsia="el-GR"/>
              </w:rPr>
              <w:t xml:space="preserve"> Αντιδραστηρίων </w:t>
            </w:r>
            <w:proofErr w:type="spellStart"/>
            <w:r w:rsidRPr="00636B2B">
              <w:rPr>
                <w:color w:val="000000"/>
                <w:szCs w:val="22"/>
                <w:lang w:val="el-GR" w:eastAsia="el-GR"/>
              </w:rPr>
              <w:t>διαμόλυνσης</w:t>
            </w:r>
            <w:proofErr w:type="spellEnd"/>
            <w:r w:rsidRPr="00636B2B">
              <w:rPr>
                <w:color w:val="000000"/>
                <w:szCs w:val="22"/>
                <w:lang w:val="el-GR" w:eastAsia="el-GR"/>
              </w:rPr>
              <w:t xml:space="preserve"> που βασίζεται σε </w:t>
            </w:r>
            <w:proofErr w:type="spellStart"/>
            <w:r w:rsidRPr="00636B2B">
              <w:rPr>
                <w:color w:val="000000"/>
                <w:szCs w:val="22"/>
                <w:lang w:val="el-GR" w:eastAsia="el-GR"/>
              </w:rPr>
              <w:t>πολυεθυλιμίνη</w:t>
            </w:r>
            <w:proofErr w:type="spellEnd"/>
            <w:r w:rsidRPr="00636B2B">
              <w:rPr>
                <w:color w:val="000000"/>
                <w:szCs w:val="22"/>
                <w:lang w:val="el-GR" w:eastAsia="el-GR"/>
              </w:rPr>
              <w:t xml:space="preserve"> και που </w:t>
            </w:r>
            <w:proofErr w:type="spellStart"/>
            <w:r w:rsidRPr="00636B2B">
              <w:rPr>
                <w:color w:val="000000"/>
                <w:szCs w:val="22"/>
                <w:lang w:val="el-GR" w:eastAsia="el-GR"/>
              </w:rPr>
              <w:t>διαμολύνει</w:t>
            </w:r>
            <w:proofErr w:type="spellEnd"/>
            <w:r w:rsidRPr="00636B2B">
              <w:rPr>
                <w:color w:val="000000"/>
                <w:szCs w:val="22"/>
                <w:lang w:val="el-GR" w:eastAsia="el-GR"/>
              </w:rPr>
              <w:t xml:space="preserve"> αποτελεσματικά το μεγαλύτερο εύρος των κυτταρικών σειρών. </w:t>
            </w:r>
            <w:proofErr w:type="spellStart"/>
            <w:r w:rsidRPr="00636B2B">
              <w:rPr>
                <w:color w:val="000000"/>
                <w:szCs w:val="22"/>
                <w:lang w:val="el-GR" w:eastAsia="el-GR"/>
              </w:rPr>
              <w:t>Eλεύθερο</w:t>
            </w:r>
            <w:proofErr w:type="spellEnd"/>
            <w:r w:rsidRPr="00636B2B">
              <w:rPr>
                <w:color w:val="000000"/>
                <w:szCs w:val="22"/>
                <w:lang w:val="el-GR" w:eastAsia="el-GR"/>
              </w:rPr>
              <w:t xml:space="preserve"> συστατικών ζωικής προέλευσης. Να παρέχει άκρως αποτελεσματική και </w:t>
            </w:r>
            <w:proofErr w:type="spellStart"/>
            <w:r w:rsidRPr="00636B2B">
              <w:rPr>
                <w:color w:val="000000"/>
                <w:szCs w:val="22"/>
                <w:lang w:val="el-GR" w:eastAsia="el-GR"/>
              </w:rPr>
              <w:t>επαναλήψιμη</w:t>
            </w:r>
            <w:proofErr w:type="spellEnd"/>
            <w:r w:rsidRPr="00636B2B">
              <w:rPr>
                <w:color w:val="000000"/>
                <w:szCs w:val="22"/>
                <w:lang w:val="el-GR" w:eastAsia="el-GR"/>
              </w:rPr>
              <w:t xml:space="preserve"> επιμόλυνση σε προσκολλημένα κύτταρα ή  σε κύτταρα σε διάλυμα. Να είναι κατάλληλο για χρήση με τις περισσότερες κυτταρικές σειρές. Να έχει υψηλή απόδοση. 1ml του αντιδραστηρίου να επαρκεί για  έως 1500 επιμολύνσεις σε πλάκα 24 κελιών. Να διατίθεται σε συσκευασία των 1,5 </w:t>
            </w:r>
            <w:proofErr w:type="spellStart"/>
            <w:r w:rsidRPr="00636B2B">
              <w:rPr>
                <w:color w:val="000000"/>
                <w:szCs w:val="22"/>
                <w:lang w:val="el-GR" w:eastAsia="el-GR"/>
              </w:rPr>
              <w:t>ml</w:t>
            </w:r>
            <w:proofErr w:type="spellEnd"/>
          </w:p>
        </w:tc>
        <w:tc>
          <w:tcPr>
            <w:tcW w:w="620"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604"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1185" w:type="pct"/>
            <w:shd w:val="clear" w:color="auto" w:fill="auto"/>
            <w:vAlign w:val="center"/>
          </w:tcPr>
          <w:p w:rsidR="0045321A" w:rsidRPr="00636B2B" w:rsidRDefault="0045321A" w:rsidP="00E97607">
            <w:pPr>
              <w:suppressAutoHyphens w:val="0"/>
              <w:spacing w:after="0"/>
              <w:jc w:val="right"/>
              <w:rPr>
                <w:color w:val="000000"/>
                <w:szCs w:val="22"/>
                <w:lang w:val="el-GR" w:eastAsia="el-GR"/>
              </w:rPr>
            </w:pPr>
          </w:p>
        </w:tc>
      </w:tr>
      <w:tr w:rsidR="0045321A" w:rsidRPr="00636B2B" w:rsidTr="00E97607">
        <w:trPr>
          <w:trHeight w:val="675"/>
        </w:trPr>
        <w:tc>
          <w:tcPr>
            <w:tcW w:w="448" w:type="pct"/>
            <w:shd w:val="clear" w:color="auto" w:fill="auto"/>
            <w:vAlign w:val="center"/>
            <w:hideMark/>
          </w:tcPr>
          <w:p w:rsidR="0045321A" w:rsidRPr="00636B2B" w:rsidRDefault="0045321A" w:rsidP="00E97607">
            <w:pPr>
              <w:suppressAutoHyphens w:val="0"/>
              <w:spacing w:after="0"/>
              <w:jc w:val="center"/>
              <w:rPr>
                <w:color w:val="000000"/>
                <w:szCs w:val="22"/>
                <w:lang w:val="el-GR" w:eastAsia="el-GR"/>
              </w:rPr>
            </w:pPr>
            <w:r w:rsidRPr="00636B2B">
              <w:rPr>
                <w:color w:val="000000"/>
                <w:szCs w:val="22"/>
                <w:lang w:val="el-GR" w:eastAsia="el-GR"/>
              </w:rPr>
              <w:t>4</w:t>
            </w:r>
          </w:p>
        </w:tc>
        <w:tc>
          <w:tcPr>
            <w:tcW w:w="2144" w:type="pct"/>
            <w:shd w:val="clear" w:color="auto" w:fill="auto"/>
            <w:vAlign w:val="center"/>
            <w:hideMark/>
          </w:tcPr>
          <w:p w:rsidR="0045321A" w:rsidRPr="00636B2B" w:rsidRDefault="0045321A" w:rsidP="00E97607">
            <w:pPr>
              <w:suppressAutoHyphens w:val="0"/>
              <w:spacing w:after="0"/>
              <w:jc w:val="left"/>
              <w:rPr>
                <w:color w:val="000000"/>
                <w:szCs w:val="22"/>
                <w:lang w:val="el-GR" w:eastAsia="el-GR"/>
              </w:rPr>
            </w:pPr>
            <w:r w:rsidRPr="00636B2B">
              <w:rPr>
                <w:color w:val="000000"/>
                <w:szCs w:val="22"/>
                <w:lang w:val="el-GR" w:eastAsia="el-GR"/>
              </w:rPr>
              <w:t xml:space="preserve">Διάλυμα </w:t>
            </w:r>
            <w:proofErr w:type="spellStart"/>
            <w:r w:rsidRPr="00636B2B">
              <w:rPr>
                <w:color w:val="000000"/>
                <w:szCs w:val="22"/>
                <w:lang w:val="el-GR" w:eastAsia="el-GR"/>
              </w:rPr>
              <w:t>πολυ</w:t>
            </w:r>
            <w:proofErr w:type="spellEnd"/>
            <w:r w:rsidRPr="00636B2B">
              <w:rPr>
                <w:color w:val="000000"/>
                <w:szCs w:val="22"/>
                <w:lang w:val="el-GR" w:eastAsia="el-GR"/>
              </w:rPr>
              <w:t>-L-</w:t>
            </w:r>
            <w:proofErr w:type="spellStart"/>
            <w:r w:rsidRPr="00636B2B">
              <w:rPr>
                <w:color w:val="000000"/>
                <w:szCs w:val="22"/>
                <w:lang w:val="el-GR" w:eastAsia="el-GR"/>
              </w:rPr>
              <w:t>λυσίνης</w:t>
            </w:r>
            <w:proofErr w:type="spellEnd"/>
            <w:r w:rsidRPr="00636B2B">
              <w:rPr>
                <w:color w:val="000000"/>
                <w:szCs w:val="22"/>
                <w:lang w:val="el-GR" w:eastAsia="el-GR"/>
              </w:rPr>
              <w:t xml:space="preserve"> μοριακού βάρους 150.000-300.000, συγκέντρωση 0,01%. Αποστειρωμένο μετά από </w:t>
            </w:r>
            <w:r w:rsidRPr="00636B2B">
              <w:rPr>
                <w:color w:val="000000"/>
                <w:szCs w:val="22"/>
                <w:lang w:val="el-GR" w:eastAsia="el-GR"/>
              </w:rPr>
              <w:lastRenderedPageBreak/>
              <w:t xml:space="preserve">φιλτράρισμα, κατάλληλο για </w:t>
            </w:r>
            <w:proofErr w:type="spellStart"/>
            <w:r w:rsidRPr="00636B2B">
              <w:rPr>
                <w:color w:val="000000"/>
                <w:szCs w:val="22"/>
                <w:lang w:val="el-GR" w:eastAsia="el-GR"/>
              </w:rPr>
              <w:t>κυτταροκαλλιέργειες</w:t>
            </w:r>
            <w:proofErr w:type="spellEnd"/>
          </w:p>
        </w:tc>
        <w:tc>
          <w:tcPr>
            <w:tcW w:w="620"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604"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1185" w:type="pct"/>
            <w:shd w:val="clear" w:color="auto" w:fill="auto"/>
            <w:vAlign w:val="center"/>
          </w:tcPr>
          <w:p w:rsidR="0045321A" w:rsidRPr="00636B2B" w:rsidRDefault="0045321A" w:rsidP="00E97607">
            <w:pPr>
              <w:suppressAutoHyphens w:val="0"/>
              <w:spacing w:after="0"/>
              <w:jc w:val="right"/>
              <w:rPr>
                <w:color w:val="000000"/>
                <w:szCs w:val="22"/>
                <w:lang w:val="el-GR" w:eastAsia="el-GR"/>
              </w:rPr>
            </w:pPr>
          </w:p>
        </w:tc>
      </w:tr>
      <w:tr w:rsidR="0045321A" w:rsidRPr="00636B2B" w:rsidTr="00E97607">
        <w:trPr>
          <w:trHeight w:val="2700"/>
        </w:trPr>
        <w:tc>
          <w:tcPr>
            <w:tcW w:w="448" w:type="pct"/>
            <w:shd w:val="clear" w:color="auto" w:fill="auto"/>
            <w:vAlign w:val="center"/>
            <w:hideMark/>
          </w:tcPr>
          <w:p w:rsidR="0045321A" w:rsidRPr="00636B2B" w:rsidRDefault="0045321A" w:rsidP="00E97607">
            <w:pPr>
              <w:suppressAutoHyphens w:val="0"/>
              <w:spacing w:after="0"/>
              <w:jc w:val="center"/>
              <w:rPr>
                <w:color w:val="000000"/>
                <w:szCs w:val="22"/>
                <w:lang w:val="el-GR" w:eastAsia="el-GR"/>
              </w:rPr>
            </w:pPr>
            <w:r w:rsidRPr="00636B2B">
              <w:rPr>
                <w:color w:val="000000"/>
                <w:szCs w:val="22"/>
                <w:lang w:val="el-GR" w:eastAsia="el-GR"/>
              </w:rPr>
              <w:lastRenderedPageBreak/>
              <w:t>5</w:t>
            </w:r>
          </w:p>
        </w:tc>
        <w:tc>
          <w:tcPr>
            <w:tcW w:w="2144" w:type="pct"/>
            <w:shd w:val="clear" w:color="auto" w:fill="auto"/>
            <w:vAlign w:val="center"/>
            <w:hideMark/>
          </w:tcPr>
          <w:p w:rsidR="0045321A" w:rsidRPr="00636B2B" w:rsidRDefault="0045321A" w:rsidP="00E97607">
            <w:pPr>
              <w:suppressAutoHyphens w:val="0"/>
              <w:spacing w:after="0"/>
              <w:jc w:val="left"/>
              <w:rPr>
                <w:color w:val="000000"/>
                <w:szCs w:val="22"/>
                <w:lang w:val="el-GR" w:eastAsia="el-GR"/>
              </w:rPr>
            </w:pPr>
            <w:r w:rsidRPr="00636B2B">
              <w:rPr>
                <w:color w:val="000000"/>
                <w:szCs w:val="22"/>
                <w:lang w:val="el-GR" w:eastAsia="el-GR"/>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w:t>
            </w:r>
            <w:proofErr w:type="spellStart"/>
            <w:r w:rsidRPr="00636B2B">
              <w:rPr>
                <w:color w:val="000000"/>
                <w:szCs w:val="22"/>
                <w:lang w:val="el-GR" w:eastAsia="el-GR"/>
              </w:rPr>
              <w:t>νευρωνική</w:t>
            </w:r>
            <w:proofErr w:type="spellEnd"/>
            <w:r w:rsidRPr="00636B2B">
              <w:rPr>
                <w:color w:val="000000"/>
                <w:szCs w:val="22"/>
                <w:lang w:val="el-GR" w:eastAsia="el-GR"/>
              </w:rPr>
              <w:t xml:space="preserve"> διαφοροποίηση. Να παρέχεται ως </w:t>
            </w:r>
            <w:proofErr w:type="spellStart"/>
            <w:r w:rsidRPr="00636B2B">
              <w:rPr>
                <w:color w:val="000000"/>
                <w:szCs w:val="22"/>
                <w:lang w:val="el-GR" w:eastAsia="el-GR"/>
              </w:rPr>
              <w:t>κιτ</w:t>
            </w:r>
            <w:proofErr w:type="spellEnd"/>
            <w:r w:rsidRPr="00636B2B">
              <w:rPr>
                <w:color w:val="000000"/>
                <w:szCs w:val="22"/>
                <w:lang w:val="el-GR" w:eastAsia="el-GR"/>
              </w:rPr>
              <w:t xml:space="preserve"> που περιλαμβάνει το βασικό υλικό σε συσκευασία 500 </w:t>
            </w:r>
            <w:proofErr w:type="spellStart"/>
            <w:r w:rsidRPr="00636B2B">
              <w:rPr>
                <w:color w:val="000000"/>
                <w:szCs w:val="22"/>
                <w:lang w:val="el-GR" w:eastAsia="el-GR"/>
              </w:rPr>
              <w:t>ml</w:t>
            </w:r>
            <w:proofErr w:type="spellEnd"/>
            <w:r w:rsidRPr="00636B2B">
              <w:rPr>
                <w:color w:val="000000"/>
                <w:szCs w:val="22"/>
                <w:lang w:val="el-GR" w:eastAsia="el-GR"/>
              </w:rPr>
              <w:t xml:space="preserve"> και δύο συμπληρώματα, ένα διάλυμα συγκέντρωσης 50X σε συσκευασία 10 </w:t>
            </w:r>
            <w:proofErr w:type="spellStart"/>
            <w:r w:rsidRPr="00636B2B">
              <w:rPr>
                <w:color w:val="000000"/>
                <w:szCs w:val="22"/>
                <w:lang w:val="el-GR" w:eastAsia="el-GR"/>
              </w:rPr>
              <w:t>ml</w:t>
            </w:r>
            <w:proofErr w:type="spellEnd"/>
            <w:r w:rsidRPr="00636B2B">
              <w:rPr>
                <w:color w:val="000000"/>
                <w:szCs w:val="22"/>
                <w:lang w:val="el-GR" w:eastAsia="el-GR"/>
              </w:rPr>
              <w:t xml:space="preserve"> και ένα διάλυμα συγκέντρωσης 1000X σε συσκευασία 500 µL.</w:t>
            </w:r>
          </w:p>
        </w:tc>
        <w:tc>
          <w:tcPr>
            <w:tcW w:w="620"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604"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1185" w:type="pct"/>
            <w:shd w:val="clear" w:color="auto" w:fill="auto"/>
            <w:vAlign w:val="center"/>
          </w:tcPr>
          <w:p w:rsidR="0045321A" w:rsidRPr="00636B2B" w:rsidRDefault="0045321A" w:rsidP="00E97607">
            <w:pPr>
              <w:suppressAutoHyphens w:val="0"/>
              <w:spacing w:after="0"/>
              <w:jc w:val="right"/>
              <w:rPr>
                <w:color w:val="000000"/>
                <w:szCs w:val="22"/>
                <w:lang w:val="el-GR" w:eastAsia="el-GR"/>
              </w:rPr>
            </w:pPr>
          </w:p>
        </w:tc>
      </w:tr>
      <w:tr w:rsidR="0045321A" w:rsidRPr="00636B2B" w:rsidTr="00E97607">
        <w:trPr>
          <w:trHeight w:val="787"/>
        </w:trPr>
        <w:tc>
          <w:tcPr>
            <w:tcW w:w="448" w:type="pct"/>
            <w:shd w:val="clear" w:color="auto" w:fill="auto"/>
            <w:vAlign w:val="center"/>
            <w:hideMark/>
          </w:tcPr>
          <w:p w:rsidR="0045321A" w:rsidRPr="00636B2B" w:rsidRDefault="0045321A" w:rsidP="00E97607">
            <w:pPr>
              <w:suppressAutoHyphens w:val="0"/>
              <w:spacing w:after="0"/>
              <w:jc w:val="center"/>
              <w:rPr>
                <w:color w:val="000000"/>
                <w:szCs w:val="22"/>
                <w:lang w:val="el-GR" w:eastAsia="el-GR"/>
              </w:rPr>
            </w:pPr>
            <w:r w:rsidRPr="00636B2B">
              <w:rPr>
                <w:color w:val="000000"/>
                <w:szCs w:val="22"/>
                <w:lang w:val="el-GR" w:eastAsia="el-GR"/>
              </w:rPr>
              <w:t>6</w:t>
            </w:r>
          </w:p>
        </w:tc>
        <w:tc>
          <w:tcPr>
            <w:tcW w:w="2144" w:type="pct"/>
            <w:shd w:val="clear" w:color="auto" w:fill="auto"/>
            <w:vAlign w:val="bottom"/>
            <w:hideMark/>
          </w:tcPr>
          <w:p w:rsidR="0045321A" w:rsidRPr="00636B2B" w:rsidRDefault="0045321A" w:rsidP="00E97607">
            <w:pPr>
              <w:suppressAutoHyphens w:val="0"/>
              <w:spacing w:after="0"/>
              <w:jc w:val="left"/>
              <w:rPr>
                <w:color w:val="000000"/>
                <w:szCs w:val="22"/>
                <w:lang w:val="el-GR" w:eastAsia="el-GR"/>
              </w:rPr>
            </w:pPr>
            <w:r w:rsidRPr="00636B2B">
              <w:rPr>
                <w:color w:val="000000"/>
                <w:szCs w:val="22"/>
                <w:lang w:val="el-GR" w:eastAsia="el-GR"/>
              </w:rPr>
              <w:t xml:space="preserve">Πλήρες </w:t>
            </w:r>
            <w:proofErr w:type="spellStart"/>
            <w:r w:rsidRPr="00636B2B">
              <w:rPr>
                <w:color w:val="000000"/>
                <w:szCs w:val="22"/>
                <w:lang w:val="el-GR" w:eastAsia="el-GR"/>
              </w:rPr>
              <w:t>kit</w:t>
            </w:r>
            <w:proofErr w:type="spellEnd"/>
            <w:r w:rsidRPr="00636B2B">
              <w:rPr>
                <w:color w:val="000000"/>
                <w:szCs w:val="22"/>
                <w:lang w:val="el-GR" w:eastAsia="el-GR"/>
              </w:rPr>
              <w:t xml:space="preserve"> με καλλιεργητικό μέσο χωρίς ορό και </w:t>
            </w:r>
            <w:proofErr w:type="spellStart"/>
            <w:r w:rsidRPr="00636B2B">
              <w:rPr>
                <w:color w:val="000000"/>
                <w:szCs w:val="22"/>
                <w:lang w:val="el-GR" w:eastAsia="el-GR"/>
              </w:rPr>
              <w:t>αλβουμίνη</w:t>
            </w:r>
            <w:proofErr w:type="spellEnd"/>
            <w:r w:rsidRPr="00636B2B">
              <w:rPr>
                <w:color w:val="000000"/>
                <w:szCs w:val="22"/>
                <w:lang w:val="el-GR" w:eastAsia="el-GR"/>
              </w:rPr>
              <w:t xml:space="preserve">, κατάλληλο για καλλιέργεια και ανάπτυξη πολυδύναμων </w:t>
            </w:r>
            <w:proofErr w:type="spellStart"/>
            <w:r w:rsidRPr="00636B2B">
              <w:rPr>
                <w:color w:val="000000"/>
                <w:szCs w:val="22"/>
                <w:lang w:val="el-GR" w:eastAsia="el-GR"/>
              </w:rPr>
              <w:t>βλαστοκυττάρων</w:t>
            </w:r>
            <w:proofErr w:type="spellEnd"/>
            <w:r w:rsidRPr="00636B2B">
              <w:rPr>
                <w:color w:val="000000"/>
                <w:szCs w:val="22"/>
                <w:lang w:val="el-GR" w:eastAsia="el-GR"/>
              </w:rPr>
              <w:t xml:space="preserve"> και χωρίς να απαιτείται καθημερινή τροφοδοσία με καλλιεργητικά υλικά, για τουλάχιστον 48 ώρες. Να προσφέρεται σε συσκευασία των 500ml και να περιλαμβάνει και 10ml συμπλήρωμα, 50X. Να είναι κατάλληλο για διάφορούς τύπους </w:t>
            </w:r>
            <w:proofErr w:type="spellStart"/>
            <w:r w:rsidRPr="00636B2B">
              <w:rPr>
                <w:color w:val="000000"/>
                <w:szCs w:val="22"/>
                <w:lang w:val="el-GR" w:eastAsia="el-GR"/>
              </w:rPr>
              <w:t>βλαστοκυττάρων</w:t>
            </w:r>
            <w:proofErr w:type="spellEnd"/>
            <w:r w:rsidRPr="00636B2B">
              <w:rPr>
                <w:color w:val="000000"/>
                <w:szCs w:val="22"/>
                <w:lang w:val="el-GR" w:eastAsia="el-GR"/>
              </w:rPr>
              <w:t xml:space="preserve"> (</w:t>
            </w:r>
            <w:proofErr w:type="spellStart"/>
            <w:r w:rsidRPr="00636B2B">
              <w:rPr>
                <w:color w:val="000000"/>
                <w:szCs w:val="22"/>
                <w:lang w:val="el-GR" w:eastAsia="el-GR"/>
              </w:rPr>
              <w:t>Stem</w:t>
            </w:r>
            <w:proofErr w:type="spellEnd"/>
            <w:r w:rsidRPr="00636B2B">
              <w:rPr>
                <w:color w:val="000000"/>
                <w:szCs w:val="22"/>
                <w:lang w:val="el-GR" w:eastAsia="el-GR"/>
              </w:rPr>
              <w:t xml:space="preserve"> </w:t>
            </w:r>
            <w:proofErr w:type="spellStart"/>
            <w:r w:rsidRPr="00636B2B">
              <w:rPr>
                <w:color w:val="000000"/>
                <w:szCs w:val="22"/>
                <w:lang w:val="el-GR" w:eastAsia="el-GR"/>
              </w:rPr>
              <w:t>Cells</w:t>
            </w:r>
            <w:proofErr w:type="spellEnd"/>
            <w:r w:rsidRPr="00636B2B">
              <w:rPr>
                <w:color w:val="000000"/>
                <w:szCs w:val="22"/>
                <w:lang w:val="el-GR" w:eastAsia="el-GR"/>
              </w:rPr>
              <w:t xml:space="preserve">, </w:t>
            </w:r>
            <w:proofErr w:type="spellStart"/>
            <w:r w:rsidRPr="00636B2B">
              <w:rPr>
                <w:color w:val="000000"/>
                <w:szCs w:val="22"/>
                <w:lang w:val="el-GR" w:eastAsia="el-GR"/>
              </w:rPr>
              <w:t>Embryonic</w:t>
            </w:r>
            <w:proofErr w:type="spellEnd"/>
            <w:r w:rsidRPr="00636B2B">
              <w:rPr>
                <w:color w:val="000000"/>
                <w:szCs w:val="22"/>
                <w:lang w:val="el-GR" w:eastAsia="el-GR"/>
              </w:rPr>
              <w:t xml:space="preserve"> </w:t>
            </w:r>
            <w:proofErr w:type="spellStart"/>
            <w:r w:rsidRPr="00636B2B">
              <w:rPr>
                <w:color w:val="000000"/>
                <w:szCs w:val="22"/>
                <w:lang w:val="el-GR" w:eastAsia="el-GR"/>
              </w:rPr>
              <w:t>Stem</w:t>
            </w:r>
            <w:proofErr w:type="spellEnd"/>
            <w:r w:rsidRPr="00636B2B">
              <w:rPr>
                <w:color w:val="000000"/>
                <w:szCs w:val="22"/>
                <w:lang w:val="el-GR" w:eastAsia="el-GR"/>
              </w:rPr>
              <w:t xml:space="preserve"> </w:t>
            </w:r>
            <w:proofErr w:type="spellStart"/>
            <w:r w:rsidRPr="00636B2B">
              <w:rPr>
                <w:color w:val="000000"/>
                <w:szCs w:val="22"/>
                <w:lang w:val="el-GR" w:eastAsia="el-GR"/>
              </w:rPr>
              <w:t>Cells</w:t>
            </w:r>
            <w:proofErr w:type="spellEnd"/>
            <w:r w:rsidRPr="00636B2B">
              <w:rPr>
                <w:color w:val="000000"/>
                <w:szCs w:val="22"/>
                <w:lang w:val="el-GR" w:eastAsia="el-GR"/>
              </w:rPr>
              <w:t xml:space="preserve">, </w:t>
            </w:r>
            <w:proofErr w:type="spellStart"/>
            <w:r w:rsidRPr="00636B2B">
              <w:rPr>
                <w:color w:val="000000"/>
                <w:szCs w:val="22"/>
                <w:lang w:val="el-GR" w:eastAsia="el-GR"/>
              </w:rPr>
              <w:t>iPS</w:t>
            </w:r>
            <w:proofErr w:type="spellEnd"/>
            <w:r w:rsidRPr="00636B2B">
              <w:rPr>
                <w:color w:val="000000"/>
                <w:szCs w:val="22"/>
                <w:lang w:val="el-GR" w:eastAsia="el-GR"/>
              </w:rPr>
              <w:t xml:space="preserve"> - </w:t>
            </w:r>
            <w:proofErr w:type="spellStart"/>
            <w:r w:rsidRPr="00636B2B">
              <w:rPr>
                <w:color w:val="000000"/>
                <w:szCs w:val="22"/>
                <w:lang w:val="el-GR" w:eastAsia="el-GR"/>
              </w:rPr>
              <w:t>Induced</w:t>
            </w:r>
            <w:proofErr w:type="spellEnd"/>
            <w:r w:rsidRPr="00636B2B">
              <w:rPr>
                <w:color w:val="000000"/>
                <w:szCs w:val="22"/>
                <w:lang w:val="el-GR" w:eastAsia="el-GR"/>
              </w:rPr>
              <w:t xml:space="preserve"> </w:t>
            </w:r>
            <w:proofErr w:type="spellStart"/>
            <w:r w:rsidRPr="00636B2B">
              <w:rPr>
                <w:color w:val="000000"/>
                <w:szCs w:val="22"/>
                <w:lang w:val="el-GR" w:eastAsia="el-GR"/>
              </w:rPr>
              <w:t>Pluripotent</w:t>
            </w:r>
            <w:proofErr w:type="spellEnd"/>
            <w:r w:rsidRPr="00636B2B">
              <w:rPr>
                <w:color w:val="000000"/>
                <w:szCs w:val="22"/>
                <w:lang w:val="el-GR" w:eastAsia="el-GR"/>
              </w:rPr>
              <w:t xml:space="preserve"> </w:t>
            </w:r>
            <w:proofErr w:type="spellStart"/>
            <w:r w:rsidRPr="00636B2B">
              <w:rPr>
                <w:color w:val="000000"/>
                <w:szCs w:val="22"/>
                <w:lang w:val="el-GR" w:eastAsia="el-GR"/>
              </w:rPr>
              <w:t>Stem</w:t>
            </w:r>
            <w:proofErr w:type="spellEnd"/>
            <w:r w:rsidRPr="00636B2B">
              <w:rPr>
                <w:color w:val="000000"/>
                <w:szCs w:val="22"/>
                <w:lang w:val="el-GR" w:eastAsia="el-GR"/>
              </w:rPr>
              <w:t xml:space="preserve"> </w:t>
            </w:r>
            <w:proofErr w:type="spellStart"/>
            <w:r w:rsidRPr="00636B2B">
              <w:rPr>
                <w:color w:val="000000"/>
                <w:szCs w:val="22"/>
                <w:lang w:val="el-GR" w:eastAsia="el-GR"/>
              </w:rPr>
              <w:t>Cells</w:t>
            </w:r>
            <w:proofErr w:type="spellEnd"/>
            <w:r w:rsidRPr="00636B2B">
              <w:rPr>
                <w:color w:val="000000"/>
                <w:szCs w:val="22"/>
                <w:lang w:val="el-GR" w:eastAsia="el-GR"/>
              </w:rPr>
              <w:t xml:space="preserve">) και να έχει χρόνο ζωής τουλάχιστον 12 μήνες. Να παράγεται σύμφωνα με τα εξής πρότυπα: </w:t>
            </w:r>
            <w:proofErr w:type="spellStart"/>
            <w:r w:rsidRPr="00636B2B">
              <w:rPr>
                <w:color w:val="000000"/>
                <w:szCs w:val="22"/>
                <w:lang w:val="el-GR" w:eastAsia="el-GR"/>
              </w:rPr>
              <w:t>cGMP</w:t>
            </w:r>
            <w:proofErr w:type="spellEnd"/>
            <w:r w:rsidRPr="00636B2B">
              <w:rPr>
                <w:color w:val="000000"/>
                <w:szCs w:val="22"/>
                <w:lang w:val="el-GR" w:eastAsia="el-GR"/>
              </w:rPr>
              <w:t xml:space="preserve"> for ιατρικές συσκευές, 21 CFR </w:t>
            </w:r>
            <w:proofErr w:type="spellStart"/>
            <w:r w:rsidRPr="00636B2B">
              <w:rPr>
                <w:color w:val="000000"/>
                <w:szCs w:val="22"/>
                <w:lang w:val="el-GR" w:eastAsia="el-GR"/>
              </w:rPr>
              <w:t>Part</w:t>
            </w:r>
            <w:proofErr w:type="spellEnd"/>
            <w:r w:rsidRPr="00636B2B">
              <w:rPr>
                <w:color w:val="000000"/>
                <w:szCs w:val="22"/>
                <w:lang w:val="el-GR" w:eastAsia="el-GR"/>
              </w:rPr>
              <w:t xml:space="preserve"> 820 και ISO 13485 και να μπορεί να αποσταλεί και σε θερμοκρασία περιβάλλοντος.</w:t>
            </w:r>
          </w:p>
        </w:tc>
        <w:tc>
          <w:tcPr>
            <w:tcW w:w="620"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604" w:type="pct"/>
            <w:shd w:val="clear" w:color="auto" w:fill="auto"/>
            <w:vAlign w:val="center"/>
          </w:tcPr>
          <w:p w:rsidR="0045321A" w:rsidRPr="00636B2B" w:rsidRDefault="0045321A" w:rsidP="00E97607">
            <w:pPr>
              <w:suppressAutoHyphens w:val="0"/>
              <w:spacing w:after="0"/>
              <w:jc w:val="center"/>
              <w:rPr>
                <w:color w:val="000000"/>
                <w:szCs w:val="22"/>
                <w:lang w:val="el-GR" w:eastAsia="el-GR"/>
              </w:rPr>
            </w:pPr>
          </w:p>
        </w:tc>
        <w:tc>
          <w:tcPr>
            <w:tcW w:w="1185" w:type="pct"/>
            <w:shd w:val="clear" w:color="auto" w:fill="auto"/>
            <w:vAlign w:val="center"/>
          </w:tcPr>
          <w:p w:rsidR="0045321A" w:rsidRPr="00636B2B" w:rsidRDefault="0045321A" w:rsidP="00E97607">
            <w:pPr>
              <w:suppressAutoHyphens w:val="0"/>
              <w:spacing w:after="0"/>
              <w:jc w:val="right"/>
              <w:rPr>
                <w:color w:val="000000"/>
                <w:szCs w:val="22"/>
                <w:lang w:val="el-GR" w:eastAsia="el-GR"/>
              </w:rPr>
            </w:pPr>
          </w:p>
        </w:tc>
      </w:tr>
    </w:tbl>
    <w:p w:rsidR="0045321A" w:rsidRPr="004A2E94" w:rsidRDefault="0045321A" w:rsidP="0045321A">
      <w:pPr>
        <w:suppressAutoHyphens w:val="0"/>
        <w:autoSpaceDE w:val="0"/>
        <w:spacing w:before="57" w:after="57"/>
        <w:rPr>
          <w:rFonts w:eastAsia="SimSun"/>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45321A" w:rsidRDefault="0045321A" w:rsidP="0045321A">
      <w:pPr>
        <w:suppressAutoHyphens w:val="0"/>
        <w:autoSpaceDE w:val="0"/>
        <w:spacing w:before="57" w:after="57"/>
        <w:rPr>
          <w:rFonts w:eastAsia="SimSun"/>
          <w:i/>
          <w:iCs/>
          <w:color w:val="5B9BD5"/>
          <w:szCs w:val="22"/>
          <w:lang w:val="el-GR"/>
        </w:rPr>
      </w:pPr>
    </w:p>
    <w:p w:rsidR="006973D1" w:rsidRPr="0045321A" w:rsidRDefault="006973D1">
      <w:pPr>
        <w:rPr>
          <w:lang w:val="el-GR"/>
        </w:rPr>
      </w:pPr>
    </w:p>
    <w:sectPr w:rsidR="006973D1" w:rsidRPr="00453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1A"/>
    <w:rsid w:val="00230F0F"/>
    <w:rsid w:val="0045321A"/>
    <w:rsid w:val="0069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B69B4-AAB6-4A10-98D0-2B414DBC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1A"/>
    <w:pPr>
      <w:suppressAutoHyphens/>
      <w:spacing w:after="120" w:line="240" w:lineRule="auto"/>
      <w:jc w:val="both"/>
    </w:pPr>
    <w:rPr>
      <w:rFonts w:ascii="Calibri" w:eastAsia="Times New Roman" w:hAnsi="Calibri" w:cs="Calibri"/>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2021-07-26T09:32:00Z</dcterms:created>
  <dcterms:modified xsi:type="dcterms:W3CDTF">2021-07-26T09:32:00Z</dcterms:modified>
</cp:coreProperties>
</file>